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ixheosmqpo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ixheosmqpo</w:t>
      </w:r>
    </w:p>
    <w:p>
      <w:pPr>
        <w:pStyle w:val="BodyText"/>
      </w:pPr>
      <w:r>
        <w:rPr>
          <w:bCs/>
          <w:b/>
        </w:rPr>
        <w:t xml:space="preserve">Company Name:</w:t>
      </w:r>
      <w:r>
        <w:t xml:space="preserve"> </w:t>
      </w:r>
      <w:r>
        <w:t xml:space="preserve">gvderldfmp</w:t>
      </w:r>
    </w:p>
    <w:p>
      <w:pPr>
        <w:pStyle w:val="BodyText"/>
      </w:pPr>
      <w:r>
        <w:rPr>
          <w:bCs/>
          <w:b/>
        </w:rPr>
        <w:t xml:space="preserve">Senior Sustainability Consultant:</w:t>
      </w:r>
      <w:r>
        <w:t xml:space="preserve"> </w:t>
      </w:r>
      <w:r>
        <w:t xml:space="preserve">vkyoyjrozx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Actual values may vary based on real-world conditions and specific primary data collection.</w:t>
      </w:r>
    </w:p>
    <w:bookmarkEnd w:id="20"/>
    <w:bookmarkStart w:id="21" w:name="X1c253969fe152e1f70cf5d2b73c8789bc5260c2"/>
    <w:p>
      <w:pPr>
        <w:pStyle w:val="Heading1"/>
      </w:pPr>
      <w:r>
        <w:t xml:space="preserve">Product Carbon Footprint Report for ixheosmqpo</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ixheosmqpo, manufactured by gvderldfmp. The analysis was conducted by vkyoyjrozx, a Senior Sustainability Consultant, adhering strictly to the GHG Protocol accounting standard. The primary goal is to quantify greenhouse gas (GHG) emissions across the product\'s lifecycle, identify emission hotspots, and provide insights for reduction strategies. This comprehensive assessment considers material acquisition, manufacturing, transportation, the use phase, and end-of-life scenarios, categorizing emissions according to GHG Protocol Scopes 1, 2, and 3. Special attention has been given to the 2026 Land Sector and Removals (LSR) Standard update and the requirement for at least 95% Scope 3 coverage.</w:t>
      </w:r>
    </w:p>
    <w:p>
      <w:pPr>
        <w:pStyle w:val="BodyText"/>
      </w:pPr>
      <w:r>
        <w:rPr>
          <w:bCs/>
          <w:b/>
        </w:rPr>
        <w:t xml:space="preserve">Note on Placeholders:</w:t>
      </w:r>
      <w:r>
        <w:t xml:space="preserve"> </w:t>
      </w:r>
      <w:r>
        <w:t xml:space="preserve">Several parameters, such as the Detailed Bill of Materials (BOM), Transport Mode, Transport Distance, Last-Mile Delivery Channel, Renewable Energy Usage, Energy Intensity, Product Lifespan, Energy Consumption in Use, Recyclability Percentage, and Circular/Take-back Programs, were provided as illustrative placeholder strings in the prompt. For the purpose of this report, realistic, illustrative values have been assumed to demonstrate the methodology and structure of the analysis. A real PCF analysis would require specific, verifiable data for these parameters.</w:t>
      </w:r>
    </w:p>
    <w:bookmarkEnd w:id="22"/>
    <w:p>
      <w:r>
        <w:pict>
          <v:rect style="width:0;height:1.5pt" o:hralign="center" o:hrstd="t" o:hr="t"/>
        </w:pict>
      </w:r>
    </w:p>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analysis strictly adheres to the **GHG Protocol** standards, specifically the Product Life Cycle Accounting and Reporting Standard. Emissions are categorized into Scope 1 (direct emissions), Scope 2 (indirect emissions from purchased energy), and Scope 3 (all other indirect emissions across the value chain).</w:t>
      </w:r>
    </w:p>
    <w:bookmarkEnd w:id="23"/>
    <w:bookmarkStart w:id="24" w:name="functional-unit"/>
    <w:p>
      <w:pPr>
        <w:pStyle w:val="Heading3"/>
      </w:pPr>
      <w:r>
        <w:t xml:space="preserve">2.2. Functional Unit</w:t>
      </w:r>
    </w:p>
    <w:p>
      <w:pPr>
        <w:pStyle w:val="FirstParagraph"/>
      </w:pPr>
      <w:r>
        <w:t xml:space="preserve">The defined functional unit for this PCF study is **1.0 unit of ixheosmqpo**. This unit serves as the reference basis for all quantified environmental impacts, allowing for consistent comparison and assessment.</w:t>
      </w:r>
    </w:p>
    <w:bookmarkEnd w:id="24"/>
    <w:bookmarkStart w:id="25" w:name="system-boundary"/>
    <w:p>
      <w:pPr>
        <w:pStyle w:val="Heading3"/>
      </w:pPr>
      <w:r>
        <w:t xml:space="preserve">2.3. System Boundary</w:t>
      </w:r>
    </w:p>
    <w:p>
      <w:pPr>
        <w:pStyle w:val="FirstParagraph"/>
      </w:pPr>
      <w:r>
        <w:t xml:space="preserve">The system boundary for this analysis is **cradle-to-grave**, encompassing all stages from raw material extraction and processing through manufacturing, transportation, the product\'s use phase, and its end-of-life treatment. While the prompt initially mentioned "factory_gate" as a system boundary, the inclusion of detailed parameters for the Use Phase and End-of-Life necessitates a full cradle-to-grave approach to accurately reflect the product\'s entire environmental impact. The "factory_gate" serves as a key demarcation point for emissions arising from manufacturing and upstream activities.</w:t>
      </w:r>
    </w:p>
    <w:bookmarkEnd w:id="25"/>
    <w:bookmarkStart w:id="26" w:name="geographic-scope"/>
    <w:p>
      <w:pPr>
        <w:pStyle w:val="Heading3"/>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and downstream logistics, where applicable)</w:t>
      </w:r>
    </w:p>
    <w:bookmarkEnd w:id="26"/>
    <w:bookmarkStart w:id="27" w:name="allocation"/>
    <w:p>
      <w:pPr>
        <w:pStyle w:val="Heading3"/>
      </w:pPr>
      <w:r>
        <w:t xml:space="preserve">2.5. Allocation</w:t>
      </w:r>
    </w:p>
    <w:p>
      <w:pPr>
        <w:pStyle w:val="FirstParagraph"/>
      </w:pPr>
      <w:r>
        <w:t xml:space="preserve">Given that this analysis focuses on a single product (ixheosmqpo), direct allocation methods are primarily applied. For co-product or multi-functional processes, mass-based allocation is assumed where specific primary data for economic or other allocation methods are unavailable. Avoided burden methodology is applied for End-of-Life recycling scenarios.</w:t>
      </w:r>
    </w:p>
    <w:bookmarkEnd w:id="27"/>
    <w:bookmarkStart w:id="28" w:name="lifecycle-inventory-lci-stages"/>
    <w:p>
      <w:pPr>
        <w:pStyle w:val="Heading3"/>
      </w:pPr>
      <w:r>
        <w:t xml:space="preserve">2.6. Lifecycle Inventory (LCI) Stages</w:t>
      </w:r>
    </w:p>
    <w:p>
      <w:pPr>
        <w:pStyle w:val="FirstParagraph"/>
      </w:pPr>
      <w:r>
        <w:t xml:space="preserve">The lifecycle of ixheosmqpo is mapped through the following key stages, corresponding to the GHG Protocol\'s Scope categorization:</w:t>
      </w:r>
    </w:p>
    <w:p>
      <w:pPr>
        <w:numPr>
          <w:ilvl w:val="0"/>
          <w:numId w:val="1002"/>
        </w:numPr>
        <w:pStyle w:val="Compact"/>
      </w:pPr>
      <w:r>
        <w:rPr>
          <w:bCs/>
          <w:b/>
        </w:rPr>
        <w:t xml:space="preserve">Raw Material Acquisition &amp; Pre-processing (Scope 3, Category 1: Purchased Goods and Services):</w:t>
      </w:r>
      <w:r>
        <w:t xml:space="preserve"> </w:t>
      </w:r>
      <w:r>
        <w:t xml:space="preserve">This stage includes the extraction, processing, and manufacturing of all raw materials and components listed in the Bill of Materials (BOM) for ixheosmqpo.</w:t>
      </w:r>
    </w:p>
    <w:p>
      <w:pPr>
        <w:numPr>
          <w:ilvl w:val="0"/>
          <w:numId w:val="1002"/>
        </w:numPr>
        <w:pStyle w:val="Compact"/>
      </w:pPr>
      <w:r>
        <w:rPr>
          <w:bCs/>
          <w:b/>
        </w:rPr>
        <w:t xml:space="preserve">Manufacturing (Scope 1 &amp; 2):</w:t>
      </w:r>
      <w:r>
        <w:t xml:space="preserve"> </w:t>
      </w:r>
      <w:r>
        <w:t xml:space="preserve">Emissions directly from gvderldfmp\'s production facilities (e.g., on-site fuel combustion for heating or processes - assumed negligible for this product-level analysis, focusing on Scope 2 for purchased electricity) and indirect emissions from purchased electricity used in the assembly and finishing of ixheosmqpo.</w:t>
      </w:r>
    </w:p>
    <w:p>
      <w:pPr>
        <w:numPr>
          <w:ilvl w:val="0"/>
          <w:numId w:val="1002"/>
        </w:numPr>
        <w:pStyle w:val="Compact"/>
      </w:pPr>
      <w:r>
        <w:rPr>
          <w:bCs/>
          <w:b/>
        </w:rPr>
        <w:t xml:space="preserve">Transport (Scope 3, Category 4: Upstream Transportation and Distribution &amp; Category 9: Downstream Transportation and Distribution):</w:t>
      </w:r>
      <w:r>
        <w:t xml:space="preserve"> </w:t>
      </w:r>
      <w:r>
        <w:t xml:space="preserve">This covers the transportation of raw materials and components to the manufacturing facility (upstream) and the distribution of the finished product to the end-user (downstream), including last-mile delivery.</w:t>
      </w:r>
    </w:p>
    <w:p>
      <w:pPr>
        <w:numPr>
          <w:ilvl w:val="0"/>
          <w:numId w:val="1002"/>
        </w:numPr>
        <w:pStyle w:val="Compact"/>
      </w:pPr>
      <w:r>
        <w:rPr>
          <w:bCs/>
          <w:b/>
        </w:rPr>
        <w:t xml:space="preserve">Use Phase (Scope 3, Category 11: Use of Sold Products):</w:t>
      </w:r>
      <w:r>
        <w:t xml:space="preserve"> </w:t>
      </w:r>
      <w:r>
        <w:t xml:space="preserve">Emissions resulting from the energy consumption during the typical lifespan and operation of the product by the end-user.</w:t>
      </w:r>
    </w:p>
    <w:p>
      <w:pPr>
        <w:numPr>
          <w:ilvl w:val="0"/>
          <w:numId w:val="1002"/>
        </w:numPr>
        <w:pStyle w:val="Compact"/>
      </w:pPr>
      <w:r>
        <w:rPr>
          <w:bCs/>
          <w:b/>
        </w:rPr>
        <w:t xml:space="preserve">End-of-Life (EoL) (Scope 3, Category 12: End-of-Life Treatment of Sold Products):</w:t>
      </w:r>
      <w:r>
        <w:t xml:space="preserve"> </w:t>
      </w:r>
      <w:r>
        <w:t xml:space="preserve">Emissions associated with the disposal or recycling of the product at the end of its functional life, accounting for both waste treatment emissions and potential avoided emissions from recycling.</w:t>
      </w:r>
    </w:p>
    <w:bookmarkEnd w:id="28"/>
    <w:bookmarkEnd w:id="29"/>
    <w:p>
      <w:r>
        <w:pict>
          <v:rect style="width:0;height:1.5pt" o:hralign="center" o:hrstd="t" o:hr="t"/>
        </w:pict>
      </w:r>
    </w:p>
    <w:bookmarkStart w:id="32" w:name="data-collection-and-emission-factors"/>
    <w:p>
      <w:pPr>
        <w:pStyle w:val="Heading2"/>
      </w:pPr>
      <w:r>
        <w:t xml:space="preserve">3. Data Collection and Emission Factors</w:t>
      </w:r>
    </w:p>
    <w:bookmarkStart w:id="30" w:name="primary-and-secondary-data-points"/>
    <w:p>
      <w:pPr>
        <w:pStyle w:val="Heading3"/>
      </w:pPr>
      <w:r>
        <w:t xml:space="preserve">3.1. Primary and Secondary Data Points</w:t>
      </w:r>
    </w:p>
    <w:p>
      <w:pPr>
        <w:pStyle w:val="FirstParagraph"/>
      </w:pPr>
      <w:r>
        <w:t xml:space="preserve">For this analysis, a combination of primary (illustrative) and secondary data has been utilized. The specific parameters provided in the prompt, despite being placeholders, have guided the structure for incorporating actual data in a real-world scenario.</w:t>
      </w:r>
    </w:p>
    <w:p>
      <w:pPr>
        <w:numPr>
          <w:ilvl w:val="0"/>
          <w:numId w:val="1003"/>
        </w:numPr>
        <w:pStyle w:val="Compact"/>
      </w:pPr>
      <w:r>
        <w:rPr>
          <w:bCs/>
          <w:b/>
        </w:rPr>
        <w:t xml:space="preserve">Detailed Bill of Materials (BOM):</w:t>
      </w:r>
      <w:r>
        <w:t xml:space="preserve"> </w:t>
      </w:r>
      <w:r>
        <w:t xml:space="preserve">The input string "fwoilnkl" represents the Detailed Bill of Materials. For this report, an illustrative BOM has been constructed following the specified format (ID, Description, Category, Process, Qty, Unit, Emission Factor, Total Carbon). In a live scenario, this would be precise, supplier-specific data.</w:t>
      </w:r>
    </w:p>
    <w:p>
      <w:pPr>
        <w:numPr>
          <w:ilvl w:val="0"/>
          <w:numId w:val="1003"/>
        </w:numPr>
        <w:pStyle w:val="Compact"/>
      </w:pPr>
      <w:r>
        <w:rPr>
          <w:bCs/>
          <w:b/>
        </w:rPr>
        <w:t xml:space="preserve">Logistics Data:</w:t>
      </w:r>
      <w:r>
        <w:t xml:space="preserve"> </w:t>
      </w:r>
      <w:r>
        <w:t xml:space="preserve">"Select Mode" for Transport Mode, "fgowdvllyv" for Transport Distance, and "Delivery Type" for Last-Mile Delivery Channel are placeholders. Illustrative modes, distances, and delivery channels have been assumed for calculation purposes.</w:t>
      </w:r>
    </w:p>
    <w:p>
      <w:pPr>
        <w:numPr>
          <w:ilvl w:val="0"/>
          <w:numId w:val="1003"/>
        </w:numPr>
        <w:pStyle w:val="Compact"/>
      </w:pPr>
      <w:r>
        <w:rPr>
          <w:bCs/>
          <w:b/>
        </w:rPr>
        <w:t xml:space="preserve">Energy Customization Data:</w:t>
      </w:r>
      <w:r>
        <w:t xml:space="preserve"> </w:t>
      </w:r>
      <w:r>
        <w:t xml:space="preserve">"yiirihixkf" for Renewable Energy Usage and "oopwvjiirm" for Energy Intensity (kWh/unit) are placeholders. Illustrative values (e.g., 50% renewable energy, 10 kWh/unit) are used.</w:t>
      </w:r>
    </w:p>
    <w:p>
      <w:pPr>
        <w:numPr>
          <w:ilvl w:val="0"/>
          <w:numId w:val="1003"/>
        </w:numPr>
        <w:pStyle w:val="Compact"/>
      </w:pPr>
      <w:r>
        <w:rPr>
          <w:bCs/>
          <w:b/>
        </w:rPr>
        <w:t xml:space="preserve">Use Phase Data:</w:t>
      </w:r>
      <w:r>
        <w:t xml:space="preserve"> </w:t>
      </w:r>
      <w:r>
        <w:t xml:space="preserve">"whmepdpzzj" for Product Lifespan and "uxsxphwlde" for Energy Consumption in Use are placeholders. Illustrative values (e.g., 5 years, 5 kWh/year) are applied.</w:t>
      </w:r>
    </w:p>
    <w:p>
      <w:pPr>
        <w:numPr>
          <w:ilvl w:val="0"/>
          <w:numId w:val="1003"/>
        </w:numPr>
        <w:pStyle w:val="Compact"/>
      </w:pPr>
      <w:r>
        <w:rPr>
          <w:bCs/>
          <w:b/>
        </w:rPr>
        <w:t xml:space="preserve">End-of-Life (EoL) Data:</w:t>
      </w:r>
      <w:r>
        <w:t xml:space="preserve"> </w:t>
      </w:r>
      <w:r>
        <w:t xml:space="preserve">"ghgtqjvzlw" for Recyclability Percentage and "nqmrsoshfg" for Circular/Take-back Programs are placeholders. Illustrative values (e.g., 70% recyclability) and descriptions of circular programs are used.</w:t>
      </w:r>
    </w:p>
    <w:bookmarkEnd w:id="30"/>
    <w:bookmarkStart w:id="31" w:name="emission-factors"/>
    <w:p>
      <w:pPr>
        <w:pStyle w:val="Heading3"/>
      </w:pPr>
      <w:r>
        <w:t xml:space="preserve">3.2. Emission Factors</w:t>
      </w:r>
    </w:p>
    <w:p>
      <w:pPr>
        <w:pStyle w:val="FirstParagraph"/>
      </w:pPr>
      <w:r>
        <w:t xml:space="preserve">Industry-standard emission factors (EFs) from reputable databases such as Ecoinvent and DEFRA have been employed for calculating CO2e emissions where specific EFs were not provided in the illustrative BOM. These factors convert activity data (e.g., kg of material, kWh of electricity, tonne-km of transport) into their equivalent carbon dioxide emissions (kg CO2e).</w:t>
      </w:r>
    </w:p>
    <w:p>
      <w:pPr>
        <w:pStyle w:val="BodyText"/>
      </w:pPr>
      <w:r>
        <w:rPr>
          <w:bCs/>
          <w:b/>
        </w:rPr>
        <w:t xml:space="preserve">Illustrative Emission Factor Assumptions:</w:t>
      </w:r>
    </w:p>
    <w:p>
      <w:pPr>
        <w:numPr>
          <w:ilvl w:val="0"/>
          <w:numId w:val="1004"/>
        </w:numPr>
        <w:pStyle w:val="Compact"/>
      </w:pPr>
      <w:r>
        <w:rPr>
          <w:bCs/>
          <w:b/>
        </w:rPr>
        <w:t xml:space="preserve">Electricity (China Grid Mix):</w:t>
      </w:r>
      <w:r>
        <w:t xml:space="preserve"> </w:t>
      </w:r>
      <w:r>
        <w:t xml:space="preserve">0.577 kg CO2e/kWh</w:t>
      </w:r>
    </w:p>
    <w:p>
      <w:pPr>
        <w:numPr>
          <w:ilvl w:val="0"/>
          <w:numId w:val="1004"/>
        </w:numPr>
        <w:pStyle w:val="Compact"/>
      </w:pPr>
      <w:r>
        <w:rPr>
          <w:bCs/>
          <w:b/>
        </w:rPr>
        <w:t xml:space="preserve">Road Freight (HGV, average laden, &gt;3.5-7.5t, Europe):</w:t>
      </w:r>
      <w:r>
        <w:t xml:space="preserve"> </w:t>
      </w:r>
      <w:r>
        <w:t xml:space="preserve">Approximately 0.062 kg CO2e/tonne-km (based on general DEFRA/McKinnon averages for efficient heavy goods vehicles). A slightly higher factor is assumed for last-mile delivery due to less efficient vehicle sizes and routes.</w:t>
      </w:r>
    </w:p>
    <w:p>
      <w:pPr>
        <w:numPr>
          <w:ilvl w:val="0"/>
          <w:numId w:val="1004"/>
        </w:numPr>
        <w:pStyle w:val="Compact"/>
      </w:pPr>
      <w:r>
        <w:rPr>
          <w:bCs/>
          <w:b/>
        </w:rPr>
        <w:t xml:space="preserve">Virgin Plastic (e.g., HDPE):</w:t>
      </w:r>
      <w:r>
        <w:t xml:space="preserve"> </w:t>
      </w:r>
      <w:r>
        <w:t xml:space="preserve">~2.0 - 3.0 kg CO2e/kg</w:t>
      </w:r>
    </w:p>
    <w:p>
      <w:pPr>
        <w:numPr>
          <w:ilvl w:val="0"/>
          <w:numId w:val="1004"/>
        </w:numPr>
        <w:pStyle w:val="Compact"/>
      </w:pPr>
      <w:r>
        <w:rPr>
          <w:bCs/>
          <w:b/>
        </w:rPr>
        <w:t xml:space="preserve">Aluminum Alloy (e.g., AlMg3):</w:t>
      </w:r>
      <w:r>
        <w:t xml:space="preserve"> </w:t>
      </w:r>
      <w:r>
        <w:t xml:space="preserve">~9.0 - 11.0 kg CO2e/kg</w:t>
      </w:r>
    </w:p>
    <w:p>
      <w:pPr>
        <w:numPr>
          <w:ilvl w:val="0"/>
          <w:numId w:val="1004"/>
        </w:numPr>
        <w:pStyle w:val="Compact"/>
      </w:pPr>
      <w:r>
        <w:rPr>
          <w:bCs/>
          <w:b/>
        </w:rPr>
        <w:t xml:space="preserve">Circuit Board (illustrative average):</w:t>
      </w:r>
      <w:r>
        <w:t xml:space="preserve"> </w:t>
      </w:r>
      <w:r>
        <w:t xml:space="preserve">~18.0 kg CO2e/unit (highly variable, for illustrative purposes)</w:t>
      </w:r>
    </w:p>
    <w:p>
      <w:pPr>
        <w:numPr>
          <w:ilvl w:val="0"/>
          <w:numId w:val="1004"/>
        </w:numPr>
        <w:pStyle w:val="Compact"/>
      </w:pPr>
      <w:r>
        <w:rPr>
          <w:bCs/>
          <w:b/>
        </w:rPr>
        <w:t xml:space="preserve">Packaging Cardboard:</w:t>
      </w:r>
      <w:r>
        <w:t xml:space="preserve"> </w:t>
      </w:r>
      <w:r>
        <w:t xml:space="preserve">~0.6 kg CO2e/kg</w:t>
      </w:r>
    </w:p>
    <w:p>
      <w:pPr>
        <w:numPr>
          <w:ilvl w:val="0"/>
          <w:numId w:val="1004"/>
        </w:numPr>
        <w:pStyle w:val="Compact"/>
      </w:pPr>
      <w:r>
        <w:rPr>
          <w:bCs/>
          <w:b/>
        </w:rPr>
        <w:t xml:space="preserve">Recycling (Avoided Emissions, illustrative):</w:t>
      </w:r>
    </w:p>
    <w:p>
      <w:pPr>
        <w:numPr>
          <w:ilvl w:val="1"/>
          <w:numId w:val="1005"/>
        </w:numPr>
        <w:pStyle w:val="Compact"/>
      </w:pPr>
      <w:r>
        <w:t xml:space="preserve">Plastics (mechanical recycling): -1.8 kg CO2e/kg</w:t>
      </w:r>
    </w:p>
    <w:p>
      <w:pPr>
        <w:numPr>
          <w:ilvl w:val="1"/>
          <w:numId w:val="1005"/>
        </w:numPr>
        <w:pStyle w:val="Compact"/>
      </w:pPr>
      <w:r>
        <w:t xml:space="preserve">Cardboard (recycling): -0.3 kg CO2e/kg</w:t>
      </w:r>
    </w:p>
    <w:p>
      <w:pPr>
        <w:numPr>
          <w:ilvl w:val="0"/>
          <w:numId w:val="1004"/>
        </w:numPr>
        <w:pStyle w:val="Compact"/>
      </w:pPr>
      <w:r>
        <w:rPr>
          <w:bCs/>
          <w:b/>
        </w:rPr>
        <w:t xml:space="preserve">Landfill (illustrative):</w:t>
      </w:r>
      <w:r>
        <w:t xml:space="preserve"> </w:t>
      </w:r>
      <w:r>
        <w:t xml:space="preserve">~0.15 kg CO2e/kg for mixed waste</w:t>
      </w:r>
    </w:p>
    <w:p>
      <w:r>
        <w:pict>
          <v:rect style="width:0;height:1.5pt" o:hralign="center" o:hrstd="t" o:hr="t"/>
        </w:pict>
      </w:r>
    </w:p>
    <w:bookmarkEnd w:id="31"/>
    <w:bookmarkEnd w:id="32"/>
    <w:bookmarkStart w:id="39" w:name="Xd25582150048fdc444812762c886732c658a0bb"/>
    <w:p>
      <w:pPr>
        <w:pStyle w:val="Heading2"/>
      </w:pPr>
      <w:r>
        <w:t xml:space="preserve">4. Lifecycle Emission Calculation (Activity * Emission Factor = CO2e)</w:t>
      </w:r>
    </w:p>
    <w:p>
      <w:pPr>
        <w:pStyle w:val="FirstParagraph"/>
      </w:pPr>
      <w:r>
        <w:t xml:space="preserve">The total Product Carbon Footprint for ixheosmqpo is calculated by summing the emissions from each lifecycle stage. The emissions are categorized according to the GHG Protocol scopes.</w:t>
      </w:r>
    </w:p>
    <w:bookmarkStart w:id="35" w:name="Xa82b57c08f4d991c3410098989f9bbe9c0fb5f8"/>
    <w:p>
      <w:pPr>
        <w:pStyle w:val="Heading3"/>
      </w:pPr>
      <w:r>
        <w:t xml:space="preserve">4.1. Step 2 &amp; 3: Detailed Breakdown of Materials and Energy Inputs (Illustrative Data)</w:t>
      </w:r>
    </w:p>
    <w:bookmarkStart w:id="33" w:name="X9fbc0fdbfa085e62edd12cd8caf85294380b491"/>
    <w:p>
      <w:pPr>
        <w:pStyle w:val="Heading4"/>
      </w:pPr>
      <w:r>
        <w:t xml:space="preserve">4.1.1. Detailed Bill of Materials (BOM) - Illustrative (Placeholder: fwoilnkl)</w:t>
      </w:r>
    </w:p>
    <w:p>
      <w:pPr>
        <w:pStyle w:val="FirstParagraph"/>
      </w:pPr>
      <w:r>
        <w:t xml:space="preserve">The following table presents an illustrative Bill of Materials, demonstrating the level of detail required for high-accuracy material impact calculation. The \'Total Carbon\' column represents the CO2e emissions for that specific quantity of material, calculated using the provided (or assumed)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(HDPE)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18.00</w:t>
            </w:r>
          </w:p>
        </w:tc>
        <w:tc>
          <w:tcPr/>
          <w:p>
            <w:pPr>
              <w:pStyle w:val="Compact"/>
              <w:jc w:val="left"/>
            </w:pPr>
            <w:r>
              <w:t xml:space="preserve">18.00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(Corrugated Cardboard)</w:t>
            </w:r>
          </w:p>
        </w:tc>
        <w:tc>
          <w:tcPr/>
          <w:p>
            <w:pPr>
              <w:pStyle w:val="Compact"/>
              <w:jc w:val="left"/>
            </w:pPr>
            <w:r>
              <w:t xml:space="preserve">Paper &amp; 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0.60</w:t>
            </w:r>
          </w:p>
        </w:tc>
        <w:tc>
          <w:tcPr/>
          <w:p>
            <w:pPr>
              <w:pStyle w:val="Compact"/>
              <w:jc w:val="left"/>
            </w:pPr>
            <w:r>
              <w:t xml:space="preserve">0.12</w:t>
            </w:r>
          </w:p>
        </w:tc>
      </w:tr>
      <w:tr>
        <w:tc>
          <w:tcPr>
            <w:gridSpan w:val="7"/>
          </w:tcPr>
          <w:p>
            <w:pPr>
              <w:pStyle w:val="Compact"/>
              <w:jc w:val="right"/>
            </w:pPr>
            <w:r>
              <w:rPr>
                <w:bCs/>
                <w:b/>
              </w:rPr>
              <w:t xml:space="preserve">Total Material Emissions:</w:t>
            </w:r>
          </w:p>
        </w:tc>
        <w:tc>
          <w:tcPr/>
          <w:p>
            <w:pPr>
              <w:pStyle w:val="Compact"/>
              <w:jc w:val="left"/>
            </w:pPr>
            <w:r>
              <w:rPr>
                <w:bCs/>
                <w:b/>
              </w:rPr>
              <w:t xml:space="preserve">22.77 kg CO2e</w:t>
            </w:r>
          </w:p>
        </w:tc>
      </w:tr>
    </w:tbl>
    <w:p>
      <w:pPr>
        <w:pStyle w:val="BodyText"/>
      </w:pPr>
      <w:r>
        <w:rPr>
          <w:bCs/>
          <w:b/>
        </w:rPr>
        <w:t xml:space="preserve">GHG Protocol Scope 3 Categorization:</w:t>
      </w:r>
      <w:r>
        <w:t xml:space="preserve"> </w:t>
      </w:r>
      <w:r>
        <w:t xml:space="preserve">These emissions fall under Scope 3, Category 1: Purchased Goods and Services.</w:t>
      </w:r>
    </w:p>
    <w:bookmarkEnd w:id="33"/>
    <w:bookmarkStart w:id="34" w:name="X9f4cb4987e3bc9fd90ff1d2b2f2f19339ba8711"/>
    <w:p>
      <w:pPr>
        <w:pStyle w:val="Heading4"/>
      </w:pPr>
      <w:r>
        <w:t xml:space="preserve">4.1.2. Energy Inputs - Manufacturing Phase (Illustrative Data)</w:t>
      </w:r>
    </w:p>
    <w:p>
      <w:pPr>
        <w:numPr>
          <w:ilvl w:val="0"/>
          <w:numId w:val="1006"/>
        </w:numPr>
        <w:pStyle w:val="Compact"/>
      </w:pPr>
      <w:r>
        <w:rPr>
          <w:bCs/>
          <w:b/>
        </w:rPr>
        <w:t xml:space="preserve">Energy Intensity (kWh/unit):</w:t>
      </w:r>
      <w:r>
        <w:t xml:space="preserve"> </w:t>
      </w:r>
      <w:r>
        <w:t xml:space="preserve">oopwvjiirm (Illustrative: 10 kWh/unit)</w:t>
      </w:r>
    </w:p>
    <w:p>
      <w:pPr>
        <w:numPr>
          <w:ilvl w:val="0"/>
          <w:numId w:val="1006"/>
        </w:numPr>
        <w:pStyle w:val="Compact"/>
      </w:pPr>
      <w:r>
        <w:rPr>
          <w:bCs/>
          <w:b/>
        </w:rPr>
        <w:t xml:space="preserve">Renewable Energy Usage:</w:t>
      </w:r>
      <w:r>
        <w:t xml:space="preserve"> </w:t>
      </w:r>
      <w:r>
        <w:t xml:space="preserve">yiirihixkf (Illustrative: 50%)</w:t>
      </w:r>
    </w:p>
    <w:p>
      <w:pPr>
        <w:numPr>
          <w:ilvl w:val="0"/>
          <w:numId w:val="1006"/>
        </w:numPr>
        <w:pStyle w:val="Compact"/>
      </w:pPr>
      <w:r>
        <w:rPr>
          <w:bCs/>
          <w:b/>
        </w:rPr>
        <w:t xml:space="preserve">Non-Renewable Energy Usage:</w:t>
      </w:r>
      <w:r>
        <w:t xml:space="preserve"> </w:t>
      </w:r>
      <w:r>
        <w:t xml:space="preserve">100% - 50% = 50%</w:t>
      </w:r>
    </w:p>
    <w:p>
      <w:pPr>
        <w:numPr>
          <w:ilvl w:val="0"/>
          <w:numId w:val="1006"/>
        </w:numPr>
        <w:pStyle w:val="Compact"/>
      </w:pPr>
      <w:r>
        <w:rPr>
          <w:bCs/>
          <w:b/>
        </w:rPr>
        <w:t xml:space="preserve">Electricity Emission Factor (China Grid Mix):</w:t>
      </w:r>
      <w:r>
        <w:t xml:space="preserve"> </w:t>
      </w:r>
      <w:r>
        <w:t xml:space="preserve">0.577 kg CO2e/kWh</w:t>
      </w:r>
    </w:p>
    <w:p>
      <w:pPr>
        <w:pStyle w:val="FirstParagraph"/>
      </w:pPr>
      <w:r>
        <w:rPr>
          <w:bCs/>
          <w:b/>
        </w:rPr>
        <w:t xml:space="preserve">Calculation:</w:t>
      </w:r>
      <w:r>
        <w:br/>
      </w:r>
      <w:r>
        <w:t xml:space="preserve">Energy Consumption from Non-Renewable Sources = 10 kWh/unit * 50% = 5 kWh/unit</w:t>
      </w:r>
      <w:r>
        <w:br/>
      </w:r>
      <w:r>
        <w:t xml:space="preserve">Emissions from Purchased Electricity = 5 kWh/unit * 0.577 kg CO2e/kWh = 2.885 kg CO2e</w:t>
      </w:r>
    </w:p>
    <w:p>
      <w:pPr>
        <w:pStyle w:val="BodyText"/>
      </w:pPr>
      <w:r>
        <w:rPr>
          <w:bCs/>
          <w:b/>
        </w:rPr>
        <w:t xml:space="preserve">GHG Protocol Scope 2 Categorization:</w:t>
      </w:r>
      <w:r>
        <w:t xml:space="preserve"> </w:t>
      </w:r>
      <w:r>
        <w:t xml:space="preserve">These emissions fall under Scope 2: Purchased Electricity.</w:t>
      </w:r>
    </w:p>
    <w:bookmarkEnd w:id="34"/>
    <w:bookmarkEnd w:id="35"/>
    <w:bookmarkStart w:id="36" w:name="transport-impact-illustrative-data"/>
    <w:p>
      <w:pPr>
        <w:pStyle w:val="Heading3"/>
      </w:pPr>
      <w:r>
        <w:t xml:space="preserve">4.2. Transport Impact (Illustrative Data)</w:t>
      </w:r>
    </w:p>
    <w:p>
      <w:pPr>
        <w:numPr>
          <w:ilvl w:val="0"/>
          <w:numId w:val="1007"/>
        </w:numPr>
        <w:pStyle w:val="Compact"/>
      </w:pPr>
      <w:r>
        <w:rPr>
          <w:bCs/>
          <w:b/>
        </w:rPr>
        <w:t xml:space="preserve">Product Weight:</w:t>
      </w:r>
      <w:r>
        <w:t xml:space="preserve"> </w:t>
      </w:r>
      <w:r>
        <w:t xml:space="preserve">Assuming an average product weight of 1.2 kg (sum of illustrative BOM materials).</w:t>
      </w:r>
    </w:p>
    <w:p>
      <w:pPr>
        <w:numPr>
          <w:ilvl w:val="0"/>
          <w:numId w:val="1007"/>
        </w:numPr>
        <w:pStyle w:val="Compact"/>
      </w:pPr>
      <w:r>
        <w:rPr>
          <w:bCs/>
          <w:b/>
        </w:rPr>
        <w:t xml:space="preserve">Upstream Transport Distance (Average, Components to China):</w:t>
      </w:r>
      <w:r>
        <w:t xml:space="preserve"> </w:t>
      </w:r>
      <w:r>
        <w:t xml:space="preserve">Illustrative: fgowdvllyv (e.g., 2000 km, primarily from Europe)</w:t>
      </w:r>
    </w:p>
    <w:p>
      <w:pPr>
        <w:numPr>
          <w:ilvl w:val="0"/>
          <w:numId w:val="1007"/>
        </w:numPr>
        <w:pStyle w:val="Compact"/>
      </w:pPr>
      <w:r>
        <w:rPr>
          <w:bCs/>
          <w:b/>
        </w:rPr>
        <w:t xml:space="preserve">Downstream Transport Distance (Factory to Distribution Hub, China to Europe):</w:t>
      </w:r>
      <w:r>
        <w:t xml:space="preserve"> </w:t>
      </w:r>
      <w:r>
        <w:t xml:space="preserve">Illustrative: fgowdvllyv (e.g., 8000 km)</w:t>
      </w:r>
    </w:p>
    <w:p>
      <w:pPr>
        <w:numPr>
          <w:ilvl w:val="0"/>
          <w:numId w:val="1007"/>
        </w:numPr>
        <w:pStyle w:val="Compact"/>
      </w:pPr>
      <w:r>
        <w:rPr>
          <w:bCs/>
          <w:b/>
        </w:rPr>
        <w:t xml:space="preserve">Last-Mile Delivery Distance (Distribution Hub to Customer, within Europe):</w:t>
      </w:r>
      <w:r>
        <w:t xml:space="preserve"> </w:t>
      </w:r>
      <w:r>
        <w:t xml:space="preserve">Illustrative: 500 km</w:t>
      </w:r>
    </w:p>
    <w:p>
      <w:pPr>
        <w:numPr>
          <w:ilvl w:val="0"/>
          <w:numId w:val="1007"/>
        </w:numPr>
        <w:pStyle w:val="Compact"/>
      </w:pPr>
      <w:r>
        <w:rPr>
          <w:bCs/>
          <w:b/>
        </w:rPr>
        <w:t xml:space="preserve">Transport Mode (Upstream/Downstream):</w:t>
      </w:r>
      <w:r>
        <w:t xml:space="preserve"> </w:t>
      </w:r>
      <w:r>
        <w:t xml:space="preserve">Select Mode (Illustrative: Road freight, HGV, average laden)</w:t>
      </w:r>
    </w:p>
    <w:p>
      <w:pPr>
        <w:numPr>
          <w:ilvl w:val="0"/>
          <w:numId w:val="1007"/>
        </w:numPr>
        <w:pStyle w:val="Compact"/>
      </w:pPr>
      <w:r>
        <w:rPr>
          <w:bCs/>
          <w:b/>
        </w:rPr>
        <w:t xml:space="preserve">Last-Mile Delivery Channel:</w:t>
      </w:r>
      <w:r>
        <w:t xml:space="preserve"> </w:t>
      </w:r>
      <w:r>
        <w:t xml:space="preserve">Delivery Type (Illustrative: Parcel Service via smaller HGV/van)</w:t>
      </w:r>
    </w:p>
    <w:p>
      <w:pPr>
        <w:numPr>
          <w:ilvl w:val="0"/>
          <w:numId w:val="1007"/>
        </w:numPr>
        <w:pStyle w:val="Compact"/>
      </w:pPr>
      <w:r>
        <w:rPr>
          <w:bCs/>
          <w:b/>
        </w:rPr>
        <w:t xml:space="preserve">Emission Factor (Road Freight HGV, EU average):</w:t>
      </w:r>
      <w:r>
        <w:t xml:space="preserve"> </w:t>
      </w:r>
      <w:r>
        <w:t xml:space="preserve">0.062 kg CO2e/tonne-km</w:t>
      </w:r>
    </w:p>
    <w:p>
      <w:pPr>
        <w:numPr>
          <w:ilvl w:val="0"/>
          <w:numId w:val="1007"/>
        </w:numPr>
        <w:pStyle w:val="Compact"/>
      </w:pPr>
      <w:r>
        <w:rPr>
          <w:bCs/>
          <w:b/>
        </w:rPr>
        <w:t xml:space="preserve">Emission Factor (Last-Mile Van/Smaller HGV, EU average):</w:t>
      </w:r>
      <w:r>
        <w:t xml:space="preserve"> </w:t>
      </w:r>
      <w:r>
        <w:t xml:space="preserve">0.150 kg CO2e/tonne-km (illustrative, higher due to efficiency)</w:t>
      </w:r>
    </w:p>
    <w:p>
      <w:pPr>
        <w:pStyle w:val="FirstParagraph"/>
      </w:pPr>
      <w:r>
        <w:rPr>
          <w:bCs/>
          <w:b/>
        </w:rPr>
        <w:t xml:space="preserve">Calculations:</w:t>
      </w:r>
    </w:p>
    <w:p>
      <w:pPr>
        <w:pStyle w:val="BodyText"/>
      </w:pPr>
      <w:r>
        <w:rPr>
          <w:bCs/>
          <w:b/>
        </w:rPr>
        <w:t xml:space="preserve">Upstream Transport:</w:t>
      </w:r>
      <w:r>
        <w:br/>
      </w:r>
      <w:r>
        <w:t xml:space="preserve">Tonnes = 1.2 kg / 1000 = 0.0012 tonnes</w:t>
      </w:r>
      <w:r>
        <w:br/>
      </w:r>
      <w:r>
        <w:t xml:space="preserve">Emissions = 0.0012 tonnes * 2000 km * 0.062 kg CO2e/tonne-km = 0.149 kg CO2e</w:t>
      </w:r>
    </w:p>
    <w:p>
      <w:pPr>
        <w:pStyle w:val="BodyText"/>
      </w:pPr>
      <w:r>
        <w:rPr>
          <w:bCs/>
          <w:b/>
        </w:rPr>
        <w:t xml:space="preserve">Downstream Transport (Factory Gate to Distribution Hub):</w:t>
      </w:r>
      <w:r>
        <w:br/>
      </w:r>
      <w:r>
        <w:t xml:space="preserve">Emissions = 0.0012 tonnes * 8000 km * 0.062 kg CO2e/tonne-km = 0.595 kg CO2e</w:t>
      </w:r>
    </w:p>
    <w:p>
      <w:pPr>
        <w:pStyle w:val="BodyText"/>
      </w:pPr>
      <w:r>
        <w:rPr>
          <w:bCs/>
          <w:b/>
        </w:rPr>
        <w:t xml:space="preserve">Last-Mile Delivery:</w:t>
      </w:r>
      <w:r>
        <w:br/>
      </w:r>
      <w:r>
        <w:t xml:space="preserve">Emissions = 0.0012 tonnes * 500 km * 0.150 kg CO2e/tonne-km = 0.090 kg CO2e</w:t>
      </w:r>
    </w:p>
    <w:p>
      <w:pPr>
        <w:pStyle w:val="BodyText"/>
      </w:pPr>
      <w:r>
        <w:rPr>
          <w:bCs/>
          <w:b/>
        </w:rPr>
        <w:t xml:space="preserve">Total Transport Emissions = 0.149 + 0.595 + 0.090 = 0.834 kg CO2e</w:t>
      </w:r>
    </w:p>
    <w:p>
      <w:pPr>
        <w:pStyle w:val="BodyText"/>
      </w:pPr>
      <w:r>
        <w:rPr>
          <w:bCs/>
          <w:b/>
        </w:rPr>
        <w:t xml:space="preserve">GHG Protocol Scope 3 Categorization:</w:t>
      </w:r>
      <w:r>
        <w:t xml:space="preserve"> </w:t>
      </w:r>
      <w:r>
        <w:t xml:space="preserve">These emissions fall under Scope 3, Category 4: Upstream Transportation and Distribution, and Category 9: Downstream Transportation and Distribution.</w:t>
      </w:r>
    </w:p>
    <w:bookmarkEnd w:id="36"/>
    <w:bookmarkStart w:id="37" w:name="use-phase-impact-illustrative-data"/>
    <w:p>
      <w:pPr>
        <w:pStyle w:val="Heading3"/>
      </w:pPr>
      <w:r>
        <w:t xml:space="preserve">4.3. Use Phase Impact (Illustrative Data)</w:t>
      </w:r>
    </w:p>
    <w:p>
      <w:pPr>
        <w:numPr>
          <w:ilvl w:val="0"/>
          <w:numId w:val="1008"/>
        </w:numPr>
        <w:pStyle w:val="Compact"/>
      </w:pPr>
      <w:r>
        <w:rPr>
          <w:bCs/>
          <w:b/>
        </w:rPr>
        <w:t xml:space="preserve">Product Lifespan:</w:t>
      </w:r>
      <w:r>
        <w:t xml:space="preserve"> </w:t>
      </w:r>
      <w:r>
        <w:t xml:space="preserve">whmepdpzzj (Illustrative: 5 years)</w:t>
      </w:r>
    </w:p>
    <w:p>
      <w:pPr>
        <w:numPr>
          <w:ilvl w:val="0"/>
          <w:numId w:val="1008"/>
        </w:numPr>
        <w:pStyle w:val="Compact"/>
      </w:pPr>
      <w:r>
        <w:rPr>
          <w:bCs/>
          <w:b/>
        </w:rPr>
        <w:t xml:space="preserve">Energy Consumption in Use:</w:t>
      </w:r>
      <w:r>
        <w:t xml:space="preserve"> </w:t>
      </w:r>
      <w:r>
        <w:t xml:space="preserve">uxsxphwlde (Illustrative: 5 kWh/year)</w:t>
      </w:r>
    </w:p>
    <w:p>
      <w:pPr>
        <w:numPr>
          <w:ilvl w:val="0"/>
          <w:numId w:val="1008"/>
        </w:numPr>
        <w:pStyle w:val="Compact"/>
      </w:pPr>
      <w:r>
        <w:rPr>
          <w:bCs/>
          <w:b/>
        </w:rPr>
        <w:t xml:space="preserve">Total Energy Consumption over Lifespan:</w:t>
      </w:r>
      <w:r>
        <w:t xml:space="preserve"> </w:t>
      </w:r>
      <w:r>
        <w:t xml:space="preserve">5 years * 5 kWh/year = 25 kWh</w:t>
      </w:r>
    </w:p>
    <w:p>
      <w:pPr>
        <w:numPr>
          <w:ilvl w:val="0"/>
          <w:numId w:val="1008"/>
        </w:numPr>
        <w:pStyle w:val="Compact"/>
      </w:pPr>
      <w:r>
        <w:rPr>
          <w:bCs/>
          <w:b/>
        </w:rPr>
        <w:t xml:space="preserve">Assumed Electricity Grid Mix (for end-user in Europe):</w:t>
      </w:r>
      <w:r>
        <w:t xml:space="preserve"> </w:t>
      </w:r>
      <w:r>
        <w:t xml:space="preserve">0.3 kg CO2e/kWh (Illustrative EU average)</w:t>
      </w:r>
    </w:p>
    <w:p>
      <w:pPr>
        <w:pStyle w:val="FirstParagraph"/>
      </w:pPr>
      <w:r>
        <w:rPr>
          <w:bCs/>
          <w:b/>
        </w:rPr>
        <w:t xml:space="preserve">Calculation:</w:t>
      </w:r>
      <w:r>
        <w:br/>
      </w:r>
      <w:r>
        <w:t xml:space="preserve">Emissions from Use Phase = 25 kWh * 0.3 kg CO2e/kWh = 7.50 kg CO2e</w:t>
      </w:r>
    </w:p>
    <w:p>
      <w:pPr>
        <w:pStyle w:val="BodyText"/>
      </w:pPr>
      <w:r>
        <w:rPr>
          <w:bCs/>
          <w:b/>
        </w:rPr>
        <w:t xml:space="preserve">GHG Protocol Scope 3 Categorization:</w:t>
      </w:r>
      <w:r>
        <w:t xml:space="preserve"> </w:t>
      </w:r>
      <w:r>
        <w:t xml:space="preserve">These emissions fall under Scope 3, Category 11: Use of Sold Products.</w:t>
      </w:r>
    </w:p>
    <w:bookmarkEnd w:id="37"/>
    <w:bookmarkStart w:id="38" w:name="end-of-life-eol-impact-illustrative-data"/>
    <w:p>
      <w:pPr>
        <w:pStyle w:val="Heading3"/>
      </w:pPr>
      <w:r>
        <w:t xml:space="preserve">4.4. End-of-Life (EoL) Impact (Illustrative Data)</w:t>
      </w:r>
    </w:p>
    <w:p>
      <w:pPr>
        <w:numPr>
          <w:ilvl w:val="0"/>
          <w:numId w:val="1009"/>
        </w:numPr>
        <w:pStyle w:val="Compact"/>
      </w:pPr>
      <w:r>
        <w:rPr>
          <w:bCs/>
          <w:b/>
        </w:rPr>
        <w:t xml:space="preserve">Recyclability Percentage:</w:t>
      </w:r>
      <w:r>
        <w:t xml:space="preserve"> </w:t>
      </w:r>
      <w:r>
        <w:t xml:space="preserve">ghgtqjvzlw (Illustrative: 70%)</w:t>
      </w:r>
    </w:p>
    <w:p>
      <w:pPr>
        <w:numPr>
          <w:ilvl w:val="0"/>
          <w:numId w:val="1009"/>
        </w:numPr>
        <w:pStyle w:val="Compact"/>
      </w:pPr>
      <w:r>
        <w:rPr>
          <w:bCs/>
          <w:b/>
        </w:rPr>
        <w:t xml:space="preserve">Circular/Take-back Programs:</w:t>
      </w:r>
      <w:r>
        <w:t xml:space="preserve"> </w:t>
      </w:r>
      <w:r>
        <w:t xml:space="preserve">nqmrsoshfg (Illustrative: Product take-back and refurbishment program)</w:t>
      </w:r>
    </w:p>
    <w:p>
      <w:pPr>
        <w:numPr>
          <w:ilvl w:val="0"/>
          <w:numId w:val="1009"/>
        </w:numPr>
        <w:pStyle w:val="Compact"/>
      </w:pPr>
      <w:r>
        <w:rPr>
          <w:bCs/>
          <w:b/>
        </w:rPr>
        <w:t xml:space="preserve">Total Product Weight:</w:t>
      </w:r>
      <w:r>
        <w:t xml:space="preserve"> </w:t>
      </w:r>
      <w:r>
        <w:t xml:space="preserve">1.2 kg</w:t>
      </w:r>
    </w:p>
    <w:p>
      <w:pPr>
        <w:numPr>
          <w:ilvl w:val="0"/>
          <w:numId w:val="1009"/>
        </w:numPr>
        <w:pStyle w:val="Compact"/>
      </w:pPr>
      <w:r>
        <w:rPr>
          <w:bCs/>
          <w:b/>
        </w:rPr>
        <w:t xml:space="preserve">Recycled Portion:</w:t>
      </w:r>
      <w:r>
        <w:t xml:space="preserve"> </w:t>
      </w:r>
      <w:r>
        <w:t xml:space="preserve">1.2 kg * 70% = 0.84 kg</w:t>
      </w:r>
    </w:p>
    <w:p>
      <w:pPr>
        <w:numPr>
          <w:ilvl w:val="0"/>
          <w:numId w:val="1009"/>
        </w:numPr>
        <w:pStyle w:val="Compact"/>
      </w:pPr>
      <w:r>
        <w:rPr>
          <w:bCs/>
          <w:b/>
        </w:rPr>
        <w:t xml:space="preserve">Disposed Portion (Landfill/Incineration):</w:t>
      </w:r>
      <w:r>
        <w:t xml:space="preserve"> </w:t>
      </w:r>
      <w:r>
        <w:t xml:space="preserve">1.2 kg * 30% = 0.36 kg</w:t>
      </w:r>
    </w:p>
    <w:p>
      <w:pPr>
        <w:numPr>
          <w:ilvl w:val="0"/>
          <w:numId w:val="1009"/>
        </w:numPr>
        <w:pStyle w:val="Compact"/>
      </w:pPr>
      <w:r>
        <w:rPr>
          <w:bCs/>
          <w:b/>
        </w:rPr>
        <w:t xml:space="preserve">Average Avoided Emissions from Recycling (Illustrative, considering mixed materials):</w:t>
      </w:r>
      <w:r>
        <w:t xml:space="preserve"> </w:t>
      </w:r>
      <w:r>
        <w:t xml:space="preserve">-1.0 kg CO2e/kg (an average between plastic and cardboard recycling credits)</w:t>
      </w:r>
    </w:p>
    <w:p>
      <w:pPr>
        <w:numPr>
          <w:ilvl w:val="0"/>
          <w:numId w:val="1009"/>
        </w:numPr>
        <w:pStyle w:val="Compact"/>
      </w:pPr>
      <w:r>
        <w:rPr>
          <w:bCs/>
          <w:b/>
        </w:rPr>
        <w:t xml:space="preserve">Emissions from Disposal (Landfill, illustrative):</w:t>
      </w:r>
      <w:r>
        <w:t xml:space="preserve"> </w:t>
      </w:r>
      <w:r>
        <w:t xml:space="preserve">0.15 kg CO2e/kg</w:t>
      </w:r>
    </w:p>
    <w:p>
      <w:pPr>
        <w:pStyle w:val="FirstParagraph"/>
      </w:pPr>
      <w:r>
        <w:rPr>
          <w:bCs/>
          <w:b/>
        </w:rPr>
        <w:t xml:space="preserve">Calculations:</w:t>
      </w:r>
    </w:p>
    <w:p>
      <w:pPr>
        <w:pStyle w:val="BodyText"/>
      </w:pPr>
      <w:r>
        <w:rPr>
          <w:bCs/>
          <w:b/>
        </w:rPr>
        <w:t xml:space="preserve">Avoided Emissions from Recycling:</w:t>
      </w:r>
      <w:r>
        <w:br/>
      </w:r>
      <w:r>
        <w:t xml:space="preserve">Emissions (Credit) = 0.84 kg * -1.0 kg CO2e/kg = -0.84 kg CO2e</w:t>
      </w:r>
    </w:p>
    <w:p>
      <w:pPr>
        <w:pStyle w:val="BodyText"/>
      </w:pPr>
      <w:r>
        <w:rPr>
          <w:bCs/>
          <w:b/>
        </w:rPr>
        <w:t xml:space="preserve">Emissions from Disposal:</w:t>
      </w:r>
      <w:r>
        <w:br/>
      </w:r>
      <w:r>
        <w:t xml:space="preserve">Emissions = 0.36 kg * 0.15 kg CO2e/kg = 0.054 kg CO2e</w:t>
      </w:r>
    </w:p>
    <w:p>
      <w:pPr>
        <w:pStyle w:val="BodyText"/>
      </w:pPr>
      <w:r>
        <w:rPr>
          <w:bCs/>
          <w:b/>
        </w:rPr>
        <w:t xml:space="preserve">Total End-of-Life Emissions = -0.84 + 0.054 = -0.786 kg CO2e</w:t>
      </w:r>
    </w:p>
    <w:p>
      <w:pPr>
        <w:pStyle w:val="BodyText"/>
      </w:pPr>
      <w:r>
        <w:t xml:space="preserve">The negative value indicates a net carbon removal or avoided emissions due to recycling, consistent with the circular economy approach and the assumed effectiveness of circular programs (nqmrsoshfg).</w:t>
      </w:r>
    </w:p>
    <w:p>
      <w:pPr>
        <w:pStyle w:val="BodyText"/>
      </w:pPr>
      <w:r>
        <w:rPr>
          <w:bCs/>
          <w:b/>
        </w:rPr>
        <w:t xml:space="preserve">GHG Protocol Scope 3 Categorization:</w:t>
      </w:r>
      <w:r>
        <w:t xml:space="preserve"> </w:t>
      </w:r>
      <w:r>
        <w:t xml:space="preserve">These emissions fall under Scope 3, Category 12: End-of-Life Treatment of Sold Products.</w:t>
      </w:r>
    </w:p>
    <w:p>
      <w:r>
        <w:pict>
          <v:rect style="width:0;height:1.5pt" o:hralign="center" o:hrstd="t" o:hr="t"/>
        </w:pict>
      </w:r>
    </w:p>
    <w:bookmarkEnd w:id="38"/>
    <w:bookmarkEnd w:id="39"/>
    <w:bookmarkStart w:id="43" w:name="Xb121c190ed107a63cbd0d4f41c2c5b7cb5e67e5"/>
    <w:p>
      <w:pPr>
        <w:pStyle w:val="Heading2"/>
      </w:pPr>
      <w:r>
        <w:t xml:space="preserve">5. Overall Product Carbon Footprint and GHG Protocol Categorization</w:t>
      </w:r>
    </w:p>
    <w:bookmarkStart w:id="40" w:name="Xdf5c4cefc3271fdcdad6c249f1b19a7ad986017"/>
    <w:p>
      <w:pPr>
        <w:pStyle w:val="Heading3"/>
      </w:pPr>
      <w:r>
        <w:t xml:space="preserve">5.1. Summary of Emissions by Lifecycle Stage and GHG Scope</w:t>
      </w:r>
    </w:p>
    <w:p>
      <w:pPr>
        <w:pStyle w:val="FirstParagraph"/>
      </w:pPr>
      <w:r>
        <w:t xml:space="preserve">The following table summarizes the calculated CO2e emissions for each stage of ixheosmqpo\'s lifecycle, categorized according to the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 (BOM)</w:t>
            </w:r>
          </w:p>
        </w:tc>
        <w:tc>
          <w:tcPr/>
          <w:p>
            <w:pPr>
              <w:pStyle w:val="Compact"/>
              <w:jc w:val="left"/>
            </w:pPr>
            <w:r>
              <w:t xml:space="preserve">Scope 3, Category 1</w:t>
            </w:r>
          </w:p>
        </w:tc>
        <w:tc>
          <w:tcPr/>
          <w:p>
            <w:pPr>
              <w:pStyle w:val="Compact"/>
              <w:jc w:val="left"/>
            </w:pPr>
            <w:r>
              <w:t xml:space="preserve">22.770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2.885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0.149</w:t>
            </w:r>
          </w:p>
        </w:tc>
      </w:tr>
      <w:tr>
        <w:tc>
          <w:tcPr/>
          <w:p>
            <w:pPr>
              <w:pStyle w:val="Compact"/>
              <w:jc w:val="left"/>
            </w:pPr>
            <w:r>
              <w:t xml:space="preserve">Downstream Transportation &amp; Last-Mile</w:t>
            </w:r>
          </w:p>
        </w:tc>
        <w:tc>
          <w:tcPr/>
          <w:p>
            <w:pPr>
              <w:pStyle w:val="Compact"/>
              <w:jc w:val="left"/>
            </w:pPr>
            <w:r>
              <w:t xml:space="preserve">Scope 3, Category 9</w:t>
            </w:r>
          </w:p>
        </w:tc>
        <w:tc>
          <w:tcPr/>
          <w:p>
            <w:pPr>
              <w:pStyle w:val="Compact"/>
              <w:jc w:val="left"/>
            </w:pPr>
            <w:r>
              <w:t xml:space="preserve">0.685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-0.786</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33.203 kg CO2e</w:t>
            </w:r>
          </w:p>
        </w:tc>
      </w:tr>
    </w:tbl>
    <w:bookmarkEnd w:id="40"/>
    <w:bookmarkStart w:id="41" w:name="ghg-protocol-scope-3-coverage"/>
    <w:p>
      <w:pPr>
        <w:pStyle w:val="Heading3"/>
      </w:pPr>
      <w:r>
        <w:t xml:space="preserve">5.2. GHG Protocol Scope 3 Coverage</w:t>
      </w:r>
    </w:p>
    <w:p>
      <w:pPr>
        <w:pStyle w:val="FirstParagraph"/>
      </w:pPr>
      <w:r>
        <w:t xml:space="preserve">As per the 2026 requirements, this analysis ensures comprehensive coverage for Scope 3 reporting. The detailed breakdown covers categories 1, 4, 9, 11, and 12, which typically represent the most significant sources of value chain emissions for manufactured products. This approach aims to achieve at least 95% coverage of all relevant Scope 3 emissions.</w:t>
      </w:r>
    </w:p>
    <w:bookmarkEnd w:id="41"/>
    <w:bookmarkStart w:id="42" w:name="X504f4a86e01fdcfa46a4589bb1b5e0cfaad8629"/>
    <w:p>
      <w:pPr>
        <w:pStyle w:val="Heading3"/>
      </w:pPr>
      <w:r>
        <w:t xml:space="preserve">5.3. 2026 Land Sector and Removals (LSR) Standard Update</w:t>
      </w:r>
    </w:p>
    <w:p>
      <w:pPr>
        <w:pStyle w:val="FirstParagraph"/>
      </w:pPr>
      <w:r>
        <w:t xml:space="preserve">The GHG Protocol\'s Land Sector and Removals (LSR) Standard, taking effect on January 1, 2027, provides requirements and guidance for quantifying, reporting, and tracking GHG emissions and CO2 removals from land-related activities, including agriculture and technological CO2 removals. While this specific Product Carbon Footprint for ixheosmqpo does not directly involve significant land use change or biogenic carbon removals in its primary materials (based on the illustrative BOM), the principles of the LSR Standard—such as enhanced traceability and robust accounting for removals—are crucial. For companies with extensive agricultural supply chains or those implementing direct carbon removal technologies, integrating the LSR Standard is essential for a complete and credible GHG inventory. This report acknowledges the LSR Standard and its importance for future, more granular analyses, especially concerning any bio-based components or packaging if they were derived from land-intensive processes with associated land use changes. Specific data for land carbon leakage and occupation metrics would be incorporated if available and relevant.</w:t>
      </w:r>
    </w:p>
    <w:bookmarkEnd w:id="42"/>
    <w:bookmarkEnd w:id="43"/>
    <w:p>
      <w:r>
        <w:pict>
          <v:rect style="width:0;height:1.5pt" o:hralign="center" o:hrstd="t" o:hr="t"/>
        </w:pict>
      </w:r>
    </w:p>
    <w:bookmarkStart w:id="46" w:name="review-report---hotspots-and-reliability"/>
    <w:p>
      <w:pPr>
        <w:pStyle w:val="Heading2"/>
      </w:pPr>
      <w:r>
        <w:t xml:space="preserve">6. Review &amp; Report - Hotspots and Reliability</w:t>
      </w:r>
    </w:p>
    <w:bookmarkStart w:id="44" w:name="emission-hotspots"/>
    <w:p>
      <w:pPr>
        <w:pStyle w:val="Heading3"/>
      </w:pPr>
      <w:r>
        <w:t xml:space="preserve">6.1. Emission Hotspots</w:t>
      </w:r>
    </w:p>
    <w:p>
      <w:pPr>
        <w:pStyle w:val="FirstParagraph"/>
      </w:pPr>
      <w:r>
        <w:t xml:space="preserve">Based on the illustrative data and calculations, the primary emission hotspots for ixheosmqpo are:</w:t>
      </w:r>
    </w:p>
    <w:p>
      <w:pPr>
        <w:numPr>
          <w:ilvl w:val="0"/>
          <w:numId w:val="1010"/>
        </w:numPr>
        <w:pStyle w:val="Compact"/>
      </w:pPr>
      <w:r>
        <w:rPr>
          <w:bCs/>
          <w:b/>
        </w:rPr>
        <w:t xml:space="preserve">Raw Material Acquisition &amp; Pre-processing (Scope 3, Category 1):</w:t>
      </w:r>
      <w:r>
        <w:t xml:space="preserve"> </w:t>
      </w:r>
      <w:r>
        <w:t xml:space="preserve">This stage accounts for the largest portion of emissions (22.770 kg CO2e), predominantly due to the energy-intensive production of materials like PCBs and aluminum. This highlights the critical importance of sustainable material sourcing and design.</w:t>
      </w:r>
    </w:p>
    <w:p>
      <w:pPr>
        <w:numPr>
          <w:ilvl w:val="0"/>
          <w:numId w:val="1010"/>
        </w:numPr>
        <w:pStyle w:val="Compact"/>
      </w:pPr>
      <w:r>
        <w:rPr>
          <w:bCs/>
          <w:b/>
        </w:rPr>
        <w:t xml:space="preserve">Use Phase (Scope 3, Category 11):</w:t>
      </w:r>
      <w:r>
        <w:t xml:space="preserve"> </w:t>
      </w:r>
      <w:r>
        <w:t xml:space="preserve">The energy consumption during the product\'s operational life contributes significantly (7.500 kg CO2e), underscoring the need for energy-efficient product design and consumer education on usage patterns.</w:t>
      </w:r>
    </w:p>
    <w:p>
      <w:pPr>
        <w:numPr>
          <w:ilvl w:val="0"/>
          <w:numId w:val="1010"/>
        </w:numPr>
        <w:pStyle w:val="Compact"/>
      </w:pPr>
      <w:r>
        <w:rPr>
          <w:bCs/>
          <w:b/>
        </w:rPr>
        <w:t xml:space="preserve">Manufacturing (Scope 2):</w:t>
      </w:r>
      <w:r>
        <w:t xml:space="preserve"> </w:t>
      </w:r>
      <w:r>
        <w:t xml:space="preserve">While lower than materials, emissions from purchased electricity in China (2.885 kg CO2e) indicate opportunities for increasing renewable energy procurement or on-site generation.</w:t>
      </w:r>
    </w:p>
    <w:bookmarkEnd w:id="44"/>
    <w:bookmarkStart w:id="45" w:name="data-reliability-and-limitations"/>
    <w:p>
      <w:pPr>
        <w:pStyle w:val="Heading3"/>
      </w:pPr>
      <w:r>
        <w:t xml:space="preserve">6.2. Data Reliability and Limitations</w:t>
      </w:r>
    </w:p>
    <w:p>
      <w:pPr>
        <w:pStyle w:val="FirstParagraph"/>
      </w:pPr>
      <w:r>
        <w:t xml:space="preserve">The reliability of this report is directly dependent on the accuracy and completeness of the input data. As noted, several key parameters were represented by placeholder strings, requiring the use of illustrative data and general industry emission factors. While these illustrative values are chosen to be realistic, they do not reflect the precise, primary data that would be collected for a definitive PCF analysis. Therefore, the results presented here should be interpreted as an indicative assessment. For enhanced accuracy and reliability, gvderldfmp should:</w:t>
      </w:r>
    </w:p>
    <w:p>
      <w:pPr>
        <w:numPr>
          <w:ilvl w:val="0"/>
          <w:numId w:val="1011"/>
        </w:numPr>
        <w:pStyle w:val="Compact"/>
      </w:pPr>
      <w:r>
        <w:t xml:space="preserve">Collect verifiable primary data for all BOM items, including supplier-specific emission factors where available.</w:t>
      </w:r>
    </w:p>
    <w:p>
      <w:pPr>
        <w:numPr>
          <w:ilvl w:val="0"/>
          <w:numId w:val="1011"/>
        </w:numPr>
        <w:pStyle w:val="Compact"/>
      </w:pPr>
      <w:r>
        <w:t xml:space="preserve">Obtain precise data on actual transport modes, distances, and vehicle types for both upstream and downstream logistics.</w:t>
      </w:r>
    </w:p>
    <w:p>
      <w:pPr>
        <w:numPr>
          <w:ilvl w:val="0"/>
          <w:numId w:val="1011"/>
        </w:numPr>
        <w:pStyle w:val="Compact"/>
      </w:pPr>
      <w:r>
        <w:t xml:space="preserve">Measure actual energy consumption in the manufacturing and use phases.</w:t>
      </w:r>
    </w:p>
    <w:p>
      <w:pPr>
        <w:numPr>
          <w:ilvl w:val="0"/>
          <w:numId w:val="1011"/>
        </w:numPr>
        <w:pStyle w:val="Compact"/>
      </w:pPr>
      <w:r>
        <w:t xml:space="preserve">Provide specific data on the effectiveness and scope of circular/take-back programs for accurate EoL impact assessment.</w:t>
      </w:r>
    </w:p>
    <w:bookmarkEnd w:id="45"/>
    <w:bookmarkEnd w:id="46"/>
    <w:p>
      <w:r>
        <w:pict>
          <v:rect style="width:0;height:1.5pt" o:hralign="center" o:hrstd="t" o:hr="t"/>
        </w:pict>
      </w:r>
    </w:p>
    <w:bookmarkStart w:id="47" w:name="recommendations-for-emission-reduction"/>
    <w:p>
      <w:pPr>
        <w:pStyle w:val="Heading2"/>
      </w:pPr>
      <w:r>
        <w:t xml:space="preserve">7. Recommendations for Emission Reduction</w:t>
      </w:r>
    </w:p>
    <w:p>
      <w:pPr>
        <w:numPr>
          <w:ilvl w:val="0"/>
          <w:numId w:val="1012"/>
        </w:numPr>
        <w:pStyle w:val="Compact"/>
      </w:pPr>
      <w:r>
        <w:rPr>
          <w:bCs/>
          <w:b/>
        </w:rPr>
        <w:t xml:space="preserve">Material Optimization:</w:t>
      </w:r>
      <w:r>
        <w:t xml:space="preserve"> </w:t>
      </w:r>
      <w:r>
        <w:t xml:space="preserve">Focus on designing for longevity, modularity, and using materials with lower embodied carbon, prioritizing recycled content, and working with suppliers on their decarbonization efforts.</w:t>
      </w:r>
    </w:p>
    <w:p>
      <w:pPr>
        <w:numPr>
          <w:ilvl w:val="0"/>
          <w:numId w:val="1012"/>
        </w:numPr>
        <w:pStyle w:val="Compact"/>
      </w:pPr>
      <w:r>
        <w:rPr>
          <w:bCs/>
          <w:b/>
        </w:rPr>
        <w:t xml:space="preserve">Energy Efficiency:</w:t>
      </w:r>
      <w:r>
        <w:t xml:space="preserve"> </w:t>
      </w:r>
      <w:r>
        <w:t xml:space="preserve">Invest in energy-efficient manufacturing processes and increase the share of renewable energy sourcing in production facilities, particularly in regions with high grid intensity like China.</w:t>
      </w:r>
    </w:p>
    <w:p>
      <w:pPr>
        <w:numPr>
          <w:ilvl w:val="0"/>
          <w:numId w:val="1012"/>
        </w:numPr>
        <w:pStyle w:val="Compact"/>
      </w:pPr>
      <w:r>
        <w:rPr>
          <w:bCs/>
          <w:b/>
        </w:rPr>
        <w:t xml:space="preserve">Logistics Optimization:</w:t>
      </w:r>
      <w:r>
        <w:t xml:space="preserve"> </w:t>
      </w:r>
      <w:r>
        <w:t xml:space="preserve">Optimize transport routes, consolidate shipments, explore lower-carbon transport modes (e.g., rail or sea freight where feasible), and collaborate with logistics partners on efficiency improvements.</w:t>
      </w:r>
    </w:p>
    <w:p>
      <w:pPr>
        <w:numPr>
          <w:ilvl w:val="0"/>
          <w:numId w:val="1012"/>
        </w:numPr>
        <w:pStyle w:val="Compact"/>
      </w:pPr>
      <w:r>
        <w:rPr>
          <w:bCs/>
          <w:b/>
        </w:rPr>
        <w:t xml:space="preserve">Product Use Phase Efficiency:</w:t>
      </w:r>
      <w:r>
        <w:t xml:space="preserve"> </w:t>
      </w:r>
      <w:r>
        <w:t xml:space="preserve">Design products for minimal energy consumption during their operational life and provide clear guidance to consumers on energy-efficient use.</w:t>
      </w:r>
    </w:p>
    <w:p>
      <w:pPr>
        <w:numPr>
          <w:ilvl w:val="0"/>
          <w:numId w:val="1012"/>
        </w:numPr>
        <w:pStyle w:val="Compact"/>
      </w:pPr>
      <w:r>
        <w:rPr>
          <w:bCs/>
          <w:b/>
        </w:rPr>
        <w:t xml:space="preserve">Circular Economy Integration:</w:t>
      </w:r>
      <w:r>
        <w:t xml:space="preserve"> </w:t>
      </w:r>
      <w:r>
        <w:t xml:space="preserve">Strengthen and expand circular economy initiatives such as robust take-back schemes, repair services, and high-quality recycling partnerships to maximize material recovery and minimize waste.</w:t>
      </w:r>
    </w:p>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ixheosmqpo</dc:title>
  <dc:creator/>
  <dc:description>Detailed Product Carbon Footprint (PCF) analysis for ixheosmqpo, conducted by vkyoyjrozx for gvderldfmp, adhering to GHG Protocol and 2026 LSR updates.</dc:description>
  <dc:language>en</dc:language>
  <cp:keywords/>
  <dcterms:created xsi:type="dcterms:W3CDTF">2026-05-30T16:53:54Z</dcterms:created>
  <dcterms:modified xsi:type="dcterms:W3CDTF">2026-05-30T16:53:54Z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