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ixdvyqyukz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ixdvyqyukz</w:t>
      </w:r>
    </w:p>
    <w:p>
      <w:pPr>
        <w:pStyle w:val="BodyText"/>
      </w:pPr>
      <w:r>
        <w:rPr>
          <w:bCs/>
          <w:b/>
        </w:rPr>
        <w:t xml:space="preserve">Company:</w:t>
      </w:r>
      <w:r>
        <w:t xml:space="preserve"> </w:t>
      </w:r>
      <w:r>
        <w:t xml:space="preserve">uvoiydjglr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rdnimfzlir</w:t>
      </w:r>
    </w:p>
    <w:p>
      <w:pPr>
        <w:pStyle w:val="BodyText"/>
      </w:pPr>
      <w:r>
        <w:t xml:space="preserve">This report is generated based on available data and industry standards. While every effort has been made to ensure accuracy, certain assumptions and generic emission factors have been utilized where primary data was unavailable or replaced by specified parameters.</w:t>
      </w:r>
    </w:p>
    <w:bookmarkEnd w:id="20"/>
    <w:p>
      <w:pPr>
        <w:pStyle w:val="BodyText"/>
      </w:pPr>
      <w:r>
        <w:t xml:space="preserve">Product Carbon Footprint Report - ixdvyqyukz | Generated Date: May 26, 2026</w:t>
      </w:r>
    </w:p>
    <w:bookmarkStart w:id="21" w:name="executive-summary"/>
    <w:p>
      <w:pPr>
        <w:pStyle w:val="Heading1"/>
      </w:pPr>
      <w:r>
        <w:t xml:space="preserve">Executive Summary</w:t>
      </w:r>
    </w:p>
    <w:p>
      <w:pPr>
        <w:pStyle w:val="FirstParagraph"/>
      </w:pPr>
      <w:r>
        <w:t xml:space="preserve">This report presents a high-detail Product Carbon Footprint (PCF) analysis for \'ixdvyqyukz\', manufactured by uvoiydjglr. The analysis, conducted by Senior Sustainability Consultant rdnimfzlir, adheres strictly to the GHG Protocol\'s Product Life Cycle Accounting and Reporting Standard, incorporating the latest 2026 Land Sector and Removals (LSR) Standard updates and aiming for at least 95% Scope 3 coverage. The primary goal is to quantify greenhouse gas (GHG) emissions across the product\'s lifecycle, identify emission hotspots, and provide actionable insights for sustainability improvements.</w:t>
      </w:r>
    </w:p>
    <w:p>
      <w:pPr>
        <w:pStyle w:val="BodyText"/>
      </w:pPr>
      <w:r>
        <w:t xml:space="preserve">The total Product Carbon Footprint for one functional unit of ixdvyqyukz, from cradle-to-gate (material acquisition to factory gate, including distribution to customer and use phase, and end-of-life), is estimated to be approximately</w:t>
      </w:r>
      <w:r>
        <w:t xml:space="preserve"> </w:t>
      </w:r>
      <w:r>
        <w:rPr>
          <w:bCs/>
          <w:b/>
        </w:rPr>
        <w:t xml:space="preserve">23.49 kg CO2e</w:t>
      </w:r>
      <w:r>
        <w:t xml:space="preserve">. The most significant contributions stem from material acquisition and the use phase.</w:t>
      </w:r>
    </w:p>
    <w:p>
      <w:r>
        <w:pict>
          <v:rect style="width:0;height:1.5pt" o:hralign="center" o:hrstd="t" o:hr="t"/>
        </w:pict>
      </w:r>
    </w:p>
    <w:bookmarkEnd w:id="21"/>
    <w:bookmarkStart w:id="27" w:name="methodology"/>
    <w:p>
      <w:pPr>
        <w:pStyle w:val="Heading1"/>
      </w:pPr>
      <w:r>
        <w:t xml:space="preserve">1. Methodology</w:t>
      </w:r>
    </w:p>
    <w:p>
      <w:pPr>
        <w:pStyle w:val="FirstParagraph"/>
      </w:pPr>
      <w:r>
        <w:t xml:space="preserve">The Product Carbon Footprint (PCF) analysis for ixdvyqyukz followed a five-step methodology in accordance with the GHG Protocol Product Life Cycle Accounting and Reporting Standard.</w:t>
      </w:r>
    </w:p>
    <w:bookmarkStart w:id="22"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1.0 unit of ixdvyqyukz.</w:t>
      </w:r>
    </w:p>
    <w:p>
      <w:pPr>
        <w:numPr>
          <w:ilvl w:val="0"/>
          <w:numId w:val="1001"/>
        </w:numPr>
        <w:pStyle w:val="Compact"/>
      </w:pPr>
      <w:r>
        <w:rPr>
          <w:bCs/>
          <w:b/>
        </w:rPr>
        <w:t xml:space="preserve">System Boundary:</w:t>
      </w:r>
      <w:r>
        <w:t xml:space="preserve"> </w:t>
      </w:r>
      <w:r>
        <w:t xml:space="preserve">Cradle-to-gate, explicitly including material acquisition, production, transport to customer, customer use, and end-of-life. The primary system boundary for reporting direct emissions from uvoiydjglr is at the factory gate.</w:t>
      </w:r>
    </w:p>
    <w:p>
      <w:pPr>
        <w:numPr>
          <w:ilvl w:val="0"/>
          <w:numId w:val="1001"/>
        </w:numPr>
        <w:pStyle w:val="Compact"/>
      </w:pPr>
      <w:r>
        <w:rPr>
          <w:bCs/>
          <w:b/>
        </w:rPr>
        <w:t xml:space="preserve">Geographic Scope:</w:t>
      </w:r>
      <w:r>
        <w:t xml:space="preserve"> </w:t>
      </w:r>
      <w:r>
        <w:t xml:space="preserve">Final Production Country: China, Supply Chain Focus: Europe Focused (for distribution and use phase energy mix).</w:t>
      </w:r>
    </w:p>
    <w:p>
      <w:pPr>
        <w:numPr>
          <w:ilvl w:val="0"/>
          <w:numId w:val="1001"/>
        </w:numPr>
        <w:pStyle w:val="Compact"/>
      </w:pPr>
      <w:r>
        <w:rPr>
          <w:bCs/>
          <w:b/>
        </w:rPr>
        <w:t xml:space="preserve">Allocation:</w:t>
      </w:r>
      <w:r>
        <w:t xml:space="preserve"> </w:t>
      </w:r>
      <w:r>
        <w:t xml:space="preserve">Emissions are allocated directly to the product based on mass, energy consumption, and proportional share of transport and end-of-life impacts.</w:t>
      </w:r>
    </w:p>
    <w:bookmarkEnd w:id="22"/>
    <w:bookmarkStart w:id="23" w:name="map-lifecycle-lci-inventory-stages"/>
    <w:p>
      <w:pPr>
        <w:pStyle w:val="Heading2"/>
      </w:pPr>
      <w:r>
        <w:t xml:space="preserve">1.2. Map Lifecycle (LCI Inventory Stages)</w:t>
      </w:r>
    </w:p>
    <w:p>
      <w:pPr>
        <w:pStyle w:val="FirstParagraph"/>
      </w:pPr>
      <w:r>
        <w:t xml:space="preserve">The lifecycle of ixdvyqyukz was mapped into the following stages, facilitating data collection and emission calculation:</w:t>
      </w:r>
    </w:p>
    <w:p>
      <w:pPr>
        <w:numPr>
          <w:ilvl w:val="0"/>
          <w:numId w:val="1002"/>
        </w:numPr>
        <w:pStyle w:val="Compact"/>
      </w:pPr>
      <w:r>
        <w:rPr>
          <w:bCs/>
          <w:b/>
        </w:rPr>
        <w:t xml:space="preserve">Material Acquisition &amp; Processing:</w:t>
      </w:r>
      <w:r>
        <w:t xml:space="preserve"> </w:t>
      </w:r>
      <w:r>
        <w:t xml:space="preserve">Extraction, processing, and manufacturing of all raw materials detailed in the Bill of Materials (BOM).</w:t>
      </w:r>
    </w:p>
    <w:p>
      <w:pPr>
        <w:numPr>
          <w:ilvl w:val="0"/>
          <w:numId w:val="1002"/>
        </w:numPr>
        <w:pStyle w:val="Compact"/>
      </w:pPr>
      <w:r>
        <w:rPr>
          <w:bCs/>
          <w:b/>
        </w:rPr>
        <w:t xml:space="preserve">Production:</w:t>
      </w:r>
      <w:r>
        <w:t xml:space="preserve"> </w:t>
      </w:r>
      <w:r>
        <w:t xml:space="preserve">Manufacturing processes at uvoiydjglr\'s facility in China, including purchased electricity consumption.</w:t>
      </w:r>
    </w:p>
    <w:p>
      <w:pPr>
        <w:numPr>
          <w:ilvl w:val="0"/>
          <w:numId w:val="1002"/>
        </w:numPr>
        <w:pStyle w:val="Compact"/>
      </w:pPr>
      <w:r>
        <w:rPr>
          <w:bCs/>
          <w:b/>
        </w:rPr>
        <w:t xml:space="preserve">Transport (Upstream &amp; Downstream):</w:t>
      </w:r>
      <w:r>
        <w:t xml:space="preserve"> </w:t>
      </w:r>
      <w:r>
        <w:t xml:space="preserve">Transportation of raw materials to the factory (upstream) and finished products from the factory to the end-customer (downstream).</w:t>
      </w:r>
    </w:p>
    <w:p>
      <w:pPr>
        <w:numPr>
          <w:ilvl w:val="0"/>
          <w:numId w:val="1002"/>
        </w:numPr>
        <w:pStyle w:val="Compact"/>
      </w:pPr>
      <w:r>
        <w:rPr>
          <w:bCs/>
          <w:b/>
        </w:rPr>
        <w:t xml:space="preserve">Use Phase:</w:t>
      </w:r>
      <w:r>
        <w:t xml:space="preserve"> </w:t>
      </w:r>
      <w:r>
        <w:t xml:space="preserve">Energy consumption during the typical lifespan of the product by the end-user.</w:t>
      </w:r>
    </w:p>
    <w:p>
      <w:pPr>
        <w:numPr>
          <w:ilvl w:val="0"/>
          <w:numId w:val="1002"/>
        </w:numPr>
        <w:pStyle w:val="Compact"/>
      </w:pPr>
      <w:r>
        <w:rPr>
          <w:bCs/>
          <w:b/>
        </w:rPr>
        <w:t xml:space="preserve">End-of-Life (EoL):</w:t>
      </w:r>
      <w:r>
        <w:t xml:space="preserve"> </w:t>
      </w:r>
      <w:r>
        <w:t xml:space="preserve">Disposal (landfilling) of non-recycled components.</w:t>
      </w:r>
    </w:p>
    <w:bookmarkEnd w:id="23"/>
    <w:bookmarkStart w:id="24" w:name="Xb57f50a89bf1f3f1837369be949d9d60d6c1272"/>
    <w:p>
      <w:pPr>
        <w:pStyle w:val="Heading2"/>
      </w:pPr>
      <w:r>
        <w:t xml:space="preserve">1.3. Collect Data (Primary/Secondary Data Points)</w:t>
      </w:r>
    </w:p>
    <w:p>
      <w:pPr>
        <w:pStyle w:val="FirstParagraph"/>
      </w:pPr>
      <w:r>
        <w:t xml:space="preserve">Both primary and secondary data were utilized for this analysis:</w:t>
      </w:r>
    </w:p>
    <w:p>
      <w:pPr>
        <w:numPr>
          <w:ilvl w:val="0"/>
          <w:numId w:val="1003"/>
        </w:numPr>
        <w:pStyle w:val="Compact"/>
      </w:pPr>
      <w:r>
        <w:rPr>
          <w:bCs/>
          <w:b/>
        </w:rPr>
        <w:t xml:space="preserve">Primary Data:</w:t>
      </w:r>
      <w:r>
        <w:t xml:space="preserve"> </w:t>
      </w:r>
      <w:r>
        <w:t xml:space="preserve">Detailed Bill of Materials (BOM), Renewable Energy Usage, Energy Intensity (kWh/unit), Transport Mode, Transport Distance, Last-Mile Delivery Channel, Product Lifespan, Energy Consumption in Use, Recyclability Percentage, Circular/Take-back Programs.</w:t>
      </w:r>
    </w:p>
    <w:p>
      <w:pPr>
        <w:numPr>
          <w:ilvl w:val="0"/>
          <w:numId w:val="1003"/>
        </w:numPr>
        <w:pStyle w:val="Compact"/>
      </w:pPr>
      <w:r>
        <w:rPr>
          <w:bCs/>
          <w:b/>
        </w:rPr>
        <w:t xml:space="preserve">Secondary Data:</w:t>
      </w:r>
      <w:r>
        <w:t xml:space="preserve"> </w:t>
      </w:r>
      <w:r>
        <w:t xml:space="preserve">Industry-standard emission factors were sourced from reputable databases such as Ecoinvent, DEFRA (BEIS), IEA, and Climatiq, for processes where primary data was not available or was provided as generic input. Specific emission factors used are cited where applicable.</w:t>
      </w:r>
    </w:p>
    <w:bookmarkEnd w:id="24"/>
    <w:bookmarkStart w:id="25" w:name="Xb404f6bea4a0013006ec7a9103609d9ea6643c1"/>
    <w:p>
      <w:pPr>
        <w:pStyle w:val="Heading2"/>
      </w:pPr>
      <w:r>
        <w:t xml:space="preserve">1.4. Calculate Emissions (Activity * Emission Factor = CO2e)</w:t>
      </w:r>
    </w:p>
    <w:p>
      <w:pPr>
        <w:pStyle w:val="FirstParagraph"/>
      </w:pPr>
      <w:r>
        <w:t xml:space="preserve">Emissions were calculated for each life cycle stage by multiplying activity data (e.g., kg of material, kWh of energy, tonne-km of transport) by relevant emission factors (kg CO2e per unit of activity).</w:t>
      </w:r>
    </w:p>
    <w:p>
      <w:pPr>
        <w:pStyle w:val="BodyText"/>
      </w:pPr>
      <w:r>
        <w:rPr>
          <w:bCs/>
          <w:b/>
        </w:rPr>
        <w:t xml:space="preserve">GHG Protocol Adherence:</w:t>
      </w:r>
      <w:r>
        <w:t xml:space="preserve"> </w:t>
      </w:r>
      <w:r>
        <w:t xml:space="preserve">Emissions are categorized into Scope 1 (direct), Scope 2 (purchased energy), and Scope 3 (value chain - upstream and downstream). For a product PCF, the majority of emissions typically fall under Scope 3 for the manufacturing company, encompassing raw materials, transport, use, and end-of-life. Direct emissions from the manufacturing facility itself (e.g., owned vehicles, direct fuel combustion) would fall under Scope 1, while purchased electricity for manufacturing falls under Scope 2. In this cradle-to-gate analysis, the \'factory_gate\' boundary means direct operational emissions for uvoiydjglr are considered within Scope 1 and 2, while material and transport emissions pre-production are Scope 3 upstream, and post-production are Scope 3 downstream.</w:t>
      </w:r>
    </w:p>
    <w:p>
      <w:pPr>
        <w:pStyle w:val="BodyText"/>
      </w:pPr>
      <w:r>
        <w:rPr>
          <w:bCs/>
          <w:b/>
        </w:rPr>
        <w:t xml:space="preserve">2026 LSR Update:</w:t>
      </w:r>
      <w:r>
        <w:t xml:space="preserve"> </w:t>
      </w:r>
      <w:r>
        <w:t xml:space="preserve">The Land Sector and Removals (LSR) Standard has been considered. Given the nature of ixdvyqyukz (a manufactured product), direct land use change emissions or removals are not a significant factor in its immediate lifecycle. However, the upstream impacts of material extraction are implicitly captured in the material emission factors. Should uvoiydjglr engage in bioenergy or forestry activities linked to the product, a more detailed LSR assessment would be conducted.</w:t>
      </w:r>
    </w:p>
    <w:p>
      <w:pPr>
        <w:pStyle w:val="BodyText"/>
      </w:pPr>
      <w:r>
        <w:rPr>
          <w:bCs/>
          <w:b/>
        </w:rPr>
        <w:t xml:space="preserve">Scope 3 Compliance:</w:t>
      </w:r>
      <w:r>
        <w:t xml:space="preserve"> </w:t>
      </w:r>
      <w:r>
        <w:t xml:space="preserve">This analysis aims to achieve at least 95% coverage for Scope 3 reporting, in line with 2026 requirements, by comprehensively addressing all relevant upstream and downstream categories.</w:t>
      </w:r>
    </w:p>
    <w:bookmarkEnd w:id="25"/>
    <w:bookmarkStart w:id="26" w:name="review-report"/>
    <w:p>
      <w:pPr>
        <w:pStyle w:val="Heading2"/>
      </w:pPr>
      <w:r>
        <w:t xml:space="preserve">1.5. Review &amp; Report</w:t>
      </w:r>
    </w:p>
    <w:p>
      <w:pPr>
        <w:pStyle w:val="FirstParagraph"/>
      </w:pPr>
      <w:r>
        <w:t xml:space="preserve">The results are presented with a focus on identifying emission hotspots and discussing data reliability. Recommendations for reduction strategies are provided.</w:t>
      </w:r>
    </w:p>
    <w:p>
      <w:r>
        <w:pict>
          <v:rect style="width:0;height:1.5pt" o:hralign="center" o:hrstd="t" o:hr="t"/>
        </w:pict>
      </w:r>
    </w:p>
    <w:bookmarkEnd w:id="26"/>
    <w:bookmarkEnd w:id="27"/>
    <w:bookmarkStart w:id="30" w:name="X375f90d34e2738bf774185f3c83efd090ce459a"/>
    <w:p>
      <w:pPr>
        <w:pStyle w:val="Heading1"/>
      </w:pPr>
      <w:r>
        <w:t xml:space="preserve">2. Detailed Breakdown of Materials and Energy Inputs</w:t>
      </w:r>
    </w:p>
    <w:bookmarkStart w:id="28" w:name="Xaba5523aba1f6bd1e273687bff33249e24352bc"/>
    <w:p>
      <w:pPr>
        <w:pStyle w:val="Heading2"/>
      </w:pPr>
      <w:r>
        <w:t xml:space="preserve">2.1. Material Acquisition &amp; Processing (Scope 3 Upstream)</w:t>
      </w:r>
    </w:p>
    <w:p>
      <w:pPr>
        <w:pStyle w:val="FirstParagraph"/>
      </w:pPr>
      <w:r>
        <w:t xml:space="preserve">The following detailed Bill of Materials (BOM) for ixdvyqyukz has been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Virgin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3.10</w:t>
            </w:r>
          </w:p>
        </w:tc>
        <w:tc>
          <w:tcPr/>
          <w:p>
            <w:pPr>
              <w:pStyle w:val="Compact"/>
              <w:jc w:val="left"/>
            </w:pPr>
            <w:r>
              <w:t xml:space="preserve">0.465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5.00 (Assumed)</w:t>
            </w:r>
          </w:p>
        </w:tc>
        <w:tc>
          <w:tcPr/>
          <w:p>
            <w:pPr>
              <w:pStyle w:val="Compact"/>
              <w:jc w:val="left"/>
            </w:pPr>
            <w:r>
              <w:t xml:space="preserve">5.000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4.10</w:t>
            </w:r>
          </w:p>
        </w:tc>
        <w:tc>
          <w:tcPr/>
          <w:p>
            <w:pPr>
              <w:pStyle w:val="Compact"/>
              <w:jc w:val="left"/>
            </w:pPr>
            <w:r>
              <w:t xml:space="preserve">0.205</w:t>
            </w:r>
          </w:p>
        </w:tc>
      </w:tr>
      <w:tr>
        <w:tc>
          <w:tcPr/>
          <w:p>
            <w:pPr>
              <w:pStyle w:val="Compact"/>
              <w:jc w:val="left"/>
            </w:pPr>
            <w:r>
              <w:t xml:space="preserve">5</w:t>
            </w:r>
          </w:p>
        </w:tc>
        <w:tc>
          <w:tcPr/>
          <w:p>
            <w:pPr>
              <w:pStyle w:val="Compact"/>
              <w:jc w:val="left"/>
            </w:pPr>
            <w:r>
              <w:t xml:space="preserve">Electronic Chips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5.0</w:t>
            </w:r>
          </w:p>
        </w:tc>
        <w:tc>
          <w:tcPr/>
          <w:p>
            <w:pPr>
              <w:pStyle w:val="Compact"/>
              <w:jc w:val="left"/>
            </w:pPr>
            <w:r>
              <w:t xml:space="preserve">unit</w:t>
            </w:r>
          </w:p>
        </w:tc>
        <w:tc>
          <w:tcPr/>
          <w:p>
            <w:pPr>
              <w:pStyle w:val="Compact"/>
              <w:jc w:val="left"/>
            </w:pPr>
            <w:r>
              <w:t xml:space="preserve">0.05 (Assumed)</w:t>
            </w:r>
          </w:p>
        </w:tc>
        <w:tc>
          <w:tcPr/>
          <w:p>
            <w:pPr>
              <w:pStyle w:val="Compact"/>
              <w:jc w:val="left"/>
            </w:pPr>
            <w:r>
              <w:t xml:space="preserve">0.250</w:t>
            </w:r>
          </w:p>
        </w:tc>
      </w:tr>
    </w:tbl>
    <w:p>
      <w:pPr>
        <w:pStyle w:val="BodyText"/>
      </w:pPr>
      <w:r>
        <w:rPr>
          <w:bCs/>
          <w:b/>
        </w:rPr>
        <w:t xml:space="preserve">Total Material Acquisition &amp; Processing Emissions: 8.874 kg CO2e</w:t>
      </w:r>
    </w:p>
    <w:bookmarkEnd w:id="28"/>
    <w:bookmarkStart w:id="29" w:name="production-energy-scope-2"/>
    <w:p>
      <w:pPr>
        <w:pStyle w:val="Heading2"/>
      </w:pPr>
      <w:r>
        <w:t xml:space="preserve">2.2. Production Energy (Scope 2)</w:t>
      </w:r>
    </w:p>
    <w:p>
      <w:pPr>
        <w:pStyle w:val="FirstParagraph"/>
      </w:pPr>
      <w:r>
        <w:t xml:space="preserve">The production phase at uvoiydjglr\'s facility in China involves the consumption of electricity. The following data was used:</w:t>
      </w:r>
    </w:p>
    <w:p>
      <w:pPr>
        <w:numPr>
          <w:ilvl w:val="0"/>
          <w:numId w:val="1004"/>
        </w:numPr>
        <w:pStyle w:val="Compact"/>
      </w:pPr>
      <w:r>
        <w:rPr>
          <w:bCs/>
          <w:b/>
        </w:rPr>
        <w:t xml:space="preserve">Energy Intensity (kWh/unit):</w:t>
      </w:r>
      <w:r>
        <w:t xml:space="preserve"> </w:t>
      </w:r>
      <w:r>
        <w:t xml:space="preserve">dhjusrezjl = 5 kWh/unit</w:t>
      </w:r>
    </w:p>
    <w:p>
      <w:pPr>
        <w:numPr>
          <w:ilvl w:val="0"/>
          <w:numId w:val="1004"/>
        </w:numPr>
        <w:pStyle w:val="Compact"/>
      </w:pPr>
      <w:r>
        <w:rPr>
          <w:bCs/>
          <w:b/>
        </w:rPr>
        <w:t xml:space="preserve">Renewable Energy Usage (vsweshfmvp):</w:t>
      </w:r>
      <w:r>
        <w:t xml:space="preserve"> </w:t>
      </w:r>
      <w:r>
        <w:t xml:space="preserve">40%</w:t>
      </w:r>
    </w:p>
    <w:p>
      <w:pPr>
        <w:numPr>
          <w:ilvl w:val="0"/>
          <w:numId w:val="1004"/>
        </w:numPr>
        <w:pStyle w:val="Compact"/>
      </w:pPr>
      <w:r>
        <w:rPr>
          <w:bCs/>
          <w:b/>
        </w:rPr>
        <w:t xml:space="preserve">Grid Electricity Emission Factor (China):</w:t>
      </w:r>
      <w:r>
        <w:t xml:space="preserve"> </w:t>
      </w:r>
      <w:r>
        <w:t xml:space="preserve">0.6093 kgCO2e/kWh (IEA, 2021)</w:t>
      </w:r>
    </w:p>
    <w:p>
      <w:pPr>
        <w:pStyle w:val="FirstParagraph"/>
      </w:pPr>
      <w:r>
        <w:t xml:space="preserve">Calculation:</w:t>
      </w:r>
    </w:p>
    <w:p>
      <w:pPr>
        <w:numPr>
          <w:ilvl w:val="0"/>
          <w:numId w:val="1005"/>
        </w:numPr>
        <w:pStyle w:val="Compact"/>
      </w:pPr>
      <w:r>
        <w:t xml:space="preserve">Purchased Electricity from Grid = 5 kWh/unit * (1 - 0.40) = 3 kWh/unit</w:t>
      </w:r>
    </w:p>
    <w:p>
      <w:pPr>
        <w:numPr>
          <w:ilvl w:val="0"/>
          <w:numId w:val="1005"/>
        </w:numPr>
        <w:pStyle w:val="Compact"/>
      </w:pPr>
      <w:r>
        <w:t xml:space="preserve">Production Energy Emissions = 3 kWh/unit * 0.6093 kgCO2e/kWh =</w:t>
      </w:r>
      <w:r>
        <w:t xml:space="preserve"> </w:t>
      </w:r>
      <w:r>
        <w:rPr>
          <w:bCs/>
          <w:b/>
        </w:rPr>
        <w:t xml:space="preserve">1.8279 kg CO2e</w:t>
      </w:r>
    </w:p>
    <w:p>
      <w:pPr>
        <w:pStyle w:val="FirstParagraph"/>
      </w:pPr>
      <w:r>
        <w:rPr>
          <w:iCs/>
          <w:i/>
        </w:rPr>
        <w:t xml:space="preserve">Note: Scope 1 direct emissions from manufacturing (e.g., on-site fuel combustion) are assumed to be negligible for the product itself, or implicitly covered in upstream material EFs if they occur at supplier sites.</w:t>
      </w:r>
    </w:p>
    <w:p>
      <w:r>
        <w:pict>
          <v:rect style="width:0;height:1.5pt" o:hralign="center" o:hrstd="t" o:hr="t"/>
        </w:pict>
      </w:r>
    </w:p>
    <w:bookmarkEnd w:id="29"/>
    <w:bookmarkEnd w:id="30"/>
    <w:bookmarkStart w:id="34" w:name="X95d8a4cc0ca5f1d381d42d5884f4540f43f685f"/>
    <w:p>
      <w:pPr>
        <w:pStyle w:val="Heading1"/>
      </w:pPr>
      <w:r>
        <w:t xml:space="preserve">3. Supply Chain Analysis (Scope 3 Upstream &amp; Downstream)</w:t>
      </w:r>
    </w:p>
    <w:bookmarkStart w:id="33" w:name="transport-logistics"/>
    <w:p>
      <w:pPr>
        <w:pStyle w:val="Heading2"/>
      </w:pPr>
      <w:r>
        <w:t xml:space="preserve">3.1. Transport Logistics</w:t>
      </w:r>
    </w:p>
    <w:p>
      <w:pPr>
        <w:pStyle w:val="FirstParagraph"/>
      </w:pPr>
      <w:r>
        <w:t xml:space="preserve">The transportation impacts for ixdvyqyukz consider both upstream movement of materials and downstream delivery of the finished product to the end-customer. The total product weight is assumed to be 0.5 kg (0.0005 tonnes) for transport calculations.</w:t>
      </w:r>
    </w:p>
    <w:p>
      <w:pPr>
        <w:numPr>
          <w:ilvl w:val="0"/>
          <w:numId w:val="1006"/>
        </w:numPr>
        <w:pStyle w:val="Compact"/>
      </w:pPr>
      <w:r>
        <w:rPr>
          <w:bCs/>
          <w:b/>
        </w:rPr>
        <w:t xml:space="preserve">Main Transport Mode:</w:t>
      </w:r>
      <w:r>
        <w:t xml:space="preserve"> </w:t>
      </w:r>
      <w:r>
        <w:t xml:space="preserve">Select Mode (assumed Sea Freight from China to Europe, followed by Road Freight for regional distribution).</w:t>
      </w:r>
    </w:p>
    <w:p>
      <w:pPr>
        <w:numPr>
          <w:ilvl w:val="0"/>
          <w:numId w:val="1006"/>
        </w:numPr>
        <w:pStyle w:val="Compact"/>
      </w:pPr>
      <w:r>
        <w:rPr>
          <w:bCs/>
          <w:b/>
        </w:rPr>
        <w:t xml:space="preserve">Transport Distance (tmxhkjkldk):</w:t>
      </w:r>
    </w:p>
    <w:p>
      <w:pPr>
        <w:numPr>
          <w:ilvl w:val="1"/>
          <w:numId w:val="1007"/>
        </w:numPr>
        <w:pStyle w:val="Compact"/>
      </w:pPr>
      <w:r>
        <w:t xml:space="preserve">Sea Freight (China to Europe): 18,000 km</w:t>
      </w:r>
    </w:p>
    <w:p>
      <w:pPr>
        <w:numPr>
          <w:ilvl w:val="1"/>
          <w:numId w:val="1007"/>
        </w:numPr>
        <w:pStyle w:val="Compact"/>
      </w:pPr>
      <w:r>
        <w:t xml:space="preserve">Road Freight (European hub to local depot): 500 km</w:t>
      </w:r>
    </w:p>
    <w:p>
      <w:pPr>
        <w:numPr>
          <w:ilvl w:val="1"/>
          <w:numId w:val="1007"/>
        </w:numPr>
        <w:pStyle w:val="Compact"/>
      </w:pPr>
      <w:r>
        <w:t xml:space="preserve">Last-Mile Delivery (Local depot to customer): 50 km</w:t>
      </w:r>
    </w:p>
    <w:p>
      <w:pPr>
        <w:numPr>
          <w:ilvl w:val="0"/>
          <w:numId w:val="1006"/>
        </w:numPr>
        <w:pStyle w:val="Compact"/>
      </w:pPr>
      <w:r>
        <w:rPr>
          <w:bCs/>
          <w:b/>
        </w:rPr>
        <w:t xml:space="preserve">Last-Mile Delivery Channel:</w:t>
      </w:r>
      <w:r>
        <w:t xml:space="preserve"> </w:t>
      </w:r>
      <w:r>
        <w:t xml:space="preserve">Delivery Type (assumed Direct-to-Customer Parcel Delivery by Van).</w:t>
      </w:r>
    </w:p>
    <w:bookmarkStart w:id="31" w:name="emission-factors-used"/>
    <w:p>
      <w:pPr>
        <w:pStyle w:val="Heading3"/>
      </w:pPr>
      <w:r>
        <w:t xml:space="preserve">Emission Factors Used:</w:t>
      </w:r>
    </w:p>
    <w:p>
      <w:pPr>
        <w:numPr>
          <w:ilvl w:val="0"/>
          <w:numId w:val="1008"/>
        </w:numPr>
        <w:pStyle w:val="Compact"/>
      </w:pPr>
      <w:r>
        <w:rPr>
          <w:bCs/>
          <w:b/>
        </w:rPr>
        <w:t xml:space="preserve">Sea Freight (Container Ship):</w:t>
      </w:r>
      <w:r>
        <w:t xml:space="preserve"> </w:t>
      </w:r>
      <w:r>
        <w:t xml:space="preserve">0.016 kgCO2e/tonne-km</w:t>
      </w:r>
    </w:p>
    <w:p>
      <w:pPr>
        <w:numPr>
          <w:ilvl w:val="0"/>
          <w:numId w:val="1008"/>
        </w:numPr>
        <w:pStyle w:val="Compact"/>
      </w:pPr>
      <w:r>
        <w:rPr>
          <w:bCs/>
          <w:b/>
        </w:rPr>
        <w:t xml:space="preserve">Road Freight (Lorry, average):</w:t>
      </w:r>
      <w:r>
        <w:t xml:space="preserve"> </w:t>
      </w:r>
      <w:r>
        <w:t xml:space="preserve">0.105 kgCO2e/tonne-km (based on 0.21kg CO2e for 1000 km for 2kg package)</w:t>
      </w:r>
    </w:p>
    <w:p>
      <w:pPr>
        <w:numPr>
          <w:ilvl w:val="0"/>
          <w:numId w:val="1008"/>
        </w:numPr>
        <w:pStyle w:val="Compact"/>
      </w:pPr>
      <w:r>
        <w:rPr>
          <w:bCs/>
          <w:b/>
        </w:rPr>
        <w:t xml:space="preserve">Last-Mile Delivery (Average Van):</w:t>
      </w:r>
      <w:r>
        <w:t xml:space="preserve"> </w:t>
      </w:r>
      <w:r>
        <w:t xml:space="preserve">0.24934 kgCO2e/km</w:t>
      </w:r>
    </w:p>
    <w:bookmarkEnd w:id="31"/>
    <w:bookmarkStart w:id="32" w:name="transport-emissions-calculation"/>
    <w:p>
      <w:pPr>
        <w:pStyle w:val="Heading3"/>
      </w:pPr>
      <w:r>
        <w:t xml:space="preserve">Transport Emissions Calculation:</w:t>
      </w:r>
    </w:p>
    <w:p>
      <w:pPr>
        <w:numPr>
          <w:ilvl w:val="0"/>
          <w:numId w:val="1009"/>
        </w:numPr>
        <w:pStyle w:val="Compact"/>
      </w:pPr>
      <w:r>
        <w:rPr>
          <w:bCs/>
          <w:b/>
        </w:rPr>
        <w:t xml:space="preserve">Sea Freight Emissions:</w:t>
      </w:r>
      <w:r>
        <w:t xml:space="preserve"> </w:t>
      </w:r>
      <w:r>
        <w:t xml:space="preserve">18,000 km * 0.0005 tonnes * 0.016 kgCO2e/tonne-km =</w:t>
      </w:r>
      <w:r>
        <w:t xml:space="preserve"> </w:t>
      </w:r>
      <w:r>
        <w:rPr>
          <w:bCs/>
          <w:b/>
        </w:rPr>
        <w:t xml:space="preserve">0.144 kg CO2e</w:t>
      </w:r>
    </w:p>
    <w:p>
      <w:pPr>
        <w:numPr>
          <w:ilvl w:val="0"/>
          <w:numId w:val="1009"/>
        </w:numPr>
        <w:pStyle w:val="Compact"/>
      </w:pPr>
      <w:r>
        <w:rPr>
          <w:bCs/>
          <w:b/>
        </w:rPr>
        <w:t xml:space="preserve">Road Freight Emissions:</w:t>
      </w:r>
      <w:r>
        <w:t xml:space="preserve"> </w:t>
      </w:r>
      <w:r>
        <w:t xml:space="preserve">500 km * 0.0005 tonnes * 0.105 kgCO2e/tonne-km =</w:t>
      </w:r>
      <w:r>
        <w:t xml:space="preserve"> </w:t>
      </w:r>
      <w:r>
        <w:rPr>
          <w:bCs/>
          <w:b/>
        </w:rPr>
        <w:t xml:space="preserve">0.02625 kg CO2e</w:t>
      </w:r>
    </w:p>
    <w:p>
      <w:pPr>
        <w:numPr>
          <w:ilvl w:val="0"/>
          <w:numId w:val="1009"/>
        </w:numPr>
        <w:pStyle w:val="Compact"/>
      </w:pPr>
      <w:r>
        <w:rPr>
          <w:bCs/>
          <w:b/>
        </w:rPr>
        <w:t xml:space="preserve">Last-Mile Delivery Emissions:</w:t>
      </w:r>
      <w:r>
        <w:t xml:space="preserve"> </w:t>
      </w:r>
      <w:r>
        <w:t xml:space="preserve">50 km * 0.24934 kgCO2e/km =</w:t>
      </w:r>
      <w:r>
        <w:t xml:space="preserve"> </w:t>
      </w:r>
      <w:r>
        <w:rPr>
          <w:bCs/>
          <w:b/>
        </w:rPr>
        <w:t xml:space="preserve">12.467 kg CO2e</w:t>
      </w:r>
    </w:p>
    <w:p>
      <w:pPr>
        <w:pStyle w:val="FirstParagraph"/>
      </w:pPr>
      <w:r>
        <w:rPr>
          <w:bCs/>
          <w:b/>
        </w:rPr>
        <w:t xml:space="preserve">Total Transport Emissions: 12.637 kg CO2e</w:t>
      </w:r>
    </w:p>
    <w:p>
      <w:pPr>
        <w:pStyle w:val="BodyText"/>
      </w:pPr>
      <w:r>
        <w:rPr>
          <w:iCs/>
          <w:i/>
        </w:rPr>
        <w:t xml:space="preserve">Note on Last-Mile Delivery: The provided emission factor of 0.24934 kgCO2e/km for an average van is applied directly to the 50 km delivery distance. It\'s important to acknowledge that for a single product PCF, this represents a significant portion, potentially indicating a conservative calculation where the full emissions of the van\'s travel for that distance are attributed to the single product. In some PCF methodologies, van emissions are allocated across all packages delivered during a route.</w:t>
      </w:r>
    </w:p>
    <w:p>
      <w:r>
        <w:pict>
          <v:rect style="width:0;height:1.5pt" o:hralign="center" o:hrstd="t" o:hr="t"/>
        </w:pict>
      </w:r>
    </w:p>
    <w:bookmarkEnd w:id="32"/>
    <w:bookmarkEnd w:id="33"/>
    <w:bookmarkEnd w:id="34"/>
    <w:bookmarkStart w:id="36" w:name="use-phase-analysis-scope-3-downstream"/>
    <w:p>
      <w:pPr>
        <w:pStyle w:val="Heading1"/>
      </w:pPr>
      <w:r>
        <w:t xml:space="preserve">4. Use Phase Analysis (Scope 3 Downstream)</w:t>
      </w:r>
    </w:p>
    <w:p>
      <w:pPr>
        <w:pStyle w:val="FirstParagraph"/>
      </w:pPr>
      <w:r>
        <w:t xml:space="preserve">The use phase accounts for the energy consumed by the product during its operational lifetime.</w:t>
      </w:r>
    </w:p>
    <w:p>
      <w:pPr>
        <w:numPr>
          <w:ilvl w:val="0"/>
          <w:numId w:val="1010"/>
        </w:numPr>
        <w:pStyle w:val="Compact"/>
      </w:pPr>
      <w:r>
        <w:rPr>
          <w:bCs/>
          <w:b/>
        </w:rPr>
        <w:t xml:space="preserve">Product Lifespan (jgergvhtgw):</w:t>
      </w:r>
      <w:r>
        <w:t xml:space="preserve"> </w:t>
      </w:r>
      <w:r>
        <w:t xml:space="preserve">5 years</w:t>
      </w:r>
    </w:p>
    <w:p>
      <w:pPr>
        <w:numPr>
          <w:ilvl w:val="0"/>
          <w:numId w:val="1010"/>
        </w:numPr>
        <w:pStyle w:val="Compact"/>
      </w:pPr>
      <w:r>
        <w:rPr>
          <w:bCs/>
          <w:b/>
        </w:rPr>
        <w:t xml:space="preserve">Energy Consumption in Use (gzskzzrqpe):</w:t>
      </w:r>
      <w:r>
        <w:t xml:space="preserve"> </w:t>
      </w:r>
      <w:r>
        <w:t xml:space="preserve">10 kWh/year</w:t>
      </w:r>
    </w:p>
    <w:p>
      <w:pPr>
        <w:numPr>
          <w:ilvl w:val="0"/>
          <w:numId w:val="1010"/>
        </w:numPr>
        <w:pStyle w:val="Compact"/>
      </w:pPr>
      <w:r>
        <w:rPr>
          <w:bCs/>
          <w:b/>
        </w:rPr>
        <w:t xml:space="preserve">Average Electricity Emission Factor (Europe):</w:t>
      </w:r>
      <w:r>
        <w:t xml:space="preserve"> </w:t>
      </w:r>
      <w:r>
        <w:t xml:space="preserve">0.25 kgCO2e/kWh (Assumed average for typical European grid mix during product use, given a \'Europe Focused\' supply chain context)</w:t>
      </w:r>
    </w:p>
    <w:bookmarkStart w:id="35" w:name="use-phase-emissions-calculation"/>
    <w:p>
      <w:pPr>
        <w:pStyle w:val="Heading3"/>
      </w:pPr>
      <w:r>
        <w:t xml:space="preserve">Use Phase Emissions Calculation:</w:t>
      </w:r>
    </w:p>
    <w:p>
      <w:pPr>
        <w:numPr>
          <w:ilvl w:val="0"/>
          <w:numId w:val="1011"/>
        </w:numPr>
        <w:pStyle w:val="Compact"/>
      </w:pPr>
      <w:r>
        <w:t xml:space="preserve">Total Energy Consumption over Lifespan = 10 kWh/year * 5 years = 50 kWh</w:t>
      </w:r>
    </w:p>
    <w:p>
      <w:pPr>
        <w:numPr>
          <w:ilvl w:val="0"/>
          <w:numId w:val="1011"/>
        </w:numPr>
        <w:pStyle w:val="Compact"/>
      </w:pPr>
      <w:r>
        <w:t xml:space="preserve">Use Phase Emissions = 50 kWh * 0.25 kgCO2e/kWh =</w:t>
      </w:r>
      <w:r>
        <w:t xml:space="preserve"> </w:t>
      </w:r>
      <w:r>
        <w:rPr>
          <w:bCs/>
          <w:b/>
        </w:rPr>
        <w:t xml:space="preserve">12.500 kg CO2e</w:t>
      </w:r>
    </w:p>
    <w:p>
      <w:r>
        <w:pict>
          <v:rect style="width:0;height:1.5pt" o:hralign="center" o:hrstd="t" o:hr="t"/>
        </w:pict>
      </w:r>
    </w:p>
    <w:bookmarkEnd w:id="35"/>
    <w:bookmarkEnd w:id="36"/>
    <w:bookmarkStart w:id="39" w:name="X0b1a7869ec5c89eda6252c7ad7e638ee66010db"/>
    <w:p>
      <w:pPr>
        <w:pStyle w:val="Heading1"/>
      </w:pPr>
      <w:r>
        <w:t xml:space="preserve">5. End-of-Life (EoL) Scenarios (Scope 3 Downstream)</w:t>
      </w:r>
    </w:p>
    <w:p>
      <w:pPr>
        <w:pStyle w:val="FirstParagraph"/>
      </w:pPr>
      <w:r>
        <w:t xml:space="preserve">The End-of-Life phase considers the disposal and potential recovery of the product after its useful life.</w:t>
      </w:r>
    </w:p>
    <w:p>
      <w:pPr>
        <w:numPr>
          <w:ilvl w:val="0"/>
          <w:numId w:val="1012"/>
        </w:numPr>
        <w:pStyle w:val="Compact"/>
      </w:pPr>
      <w:r>
        <w:rPr>
          <w:bCs/>
          <w:b/>
        </w:rPr>
        <w:t xml:space="preserve">Product Weight:</w:t>
      </w:r>
      <w:r>
        <w:t xml:space="preserve"> </w:t>
      </w:r>
      <w:r>
        <w:t xml:space="preserve">0.5 kg</w:t>
      </w:r>
    </w:p>
    <w:p>
      <w:pPr>
        <w:numPr>
          <w:ilvl w:val="0"/>
          <w:numId w:val="1012"/>
        </w:numPr>
        <w:pStyle w:val="Compact"/>
      </w:pPr>
      <w:r>
        <w:rPr>
          <w:bCs/>
          <w:b/>
        </w:rPr>
        <w:t xml:space="preserve">Recyclability Percentage (jnmngurhif):</w:t>
      </w:r>
      <w:r>
        <w:t xml:space="preserve"> </w:t>
      </w:r>
      <w:r>
        <w:t xml:space="preserve">70%</w:t>
      </w:r>
    </w:p>
    <w:p>
      <w:pPr>
        <w:numPr>
          <w:ilvl w:val="0"/>
          <w:numId w:val="1012"/>
        </w:numPr>
        <w:pStyle w:val="Compact"/>
      </w:pPr>
      <w:r>
        <w:rPr>
          <w:bCs/>
          <w:b/>
        </w:rPr>
        <w:t xml:space="preserve">Circular/Take-back Programs (yyoyiotdms):</w:t>
      </w:r>
      <w:r>
        <w:t xml:space="preserve"> </w:t>
      </w:r>
      <w:r>
        <w:t xml:space="preserve">uvoiydjglr implements a company-run take-back and recycling program.</w:t>
      </w:r>
    </w:p>
    <w:bookmarkStart w:id="37" w:name="eol-emissions-calculation"/>
    <w:p>
      <w:pPr>
        <w:pStyle w:val="Heading3"/>
      </w:pPr>
      <w:r>
        <w:t xml:space="preserve">EoL Emissions Calculation:</w:t>
      </w:r>
    </w:p>
    <w:p>
      <w:pPr>
        <w:pStyle w:val="FirstParagraph"/>
      </w:pPr>
      <w:r>
        <w:t xml:space="preserve">Assuming the non-recycled portion (30%) is disposed of in a landfill:</w:t>
      </w:r>
    </w:p>
    <w:p>
      <w:pPr>
        <w:numPr>
          <w:ilvl w:val="0"/>
          <w:numId w:val="1013"/>
        </w:numPr>
        <w:pStyle w:val="Compact"/>
      </w:pPr>
      <w:r>
        <w:t xml:space="preserve">Weight to Landfill = 0.5 kg * (1 - 0.70) = 0.15 kg</w:t>
      </w:r>
    </w:p>
    <w:p>
      <w:pPr>
        <w:numPr>
          <w:ilvl w:val="0"/>
          <w:numId w:val="1013"/>
        </w:numPr>
        <w:pStyle w:val="Compact"/>
      </w:pPr>
      <w:r>
        <w:t xml:space="preserve">Emission Factor for Mixed Waste Landfill: 0.06 kgCO2e/kg (approx. 60 kg CO2-eq./tonne for mixed waste)</w:t>
      </w:r>
    </w:p>
    <w:p>
      <w:pPr>
        <w:numPr>
          <w:ilvl w:val="0"/>
          <w:numId w:val="1013"/>
        </w:numPr>
        <w:pStyle w:val="Compact"/>
      </w:pPr>
      <w:r>
        <w:t xml:space="preserve">EoL Disposal Emissions = 0.15 kg * 0.06 kgCO2e/kg =</w:t>
      </w:r>
      <w:r>
        <w:t xml:space="preserve"> </w:t>
      </w:r>
      <w:r>
        <w:rPr>
          <w:bCs/>
          <w:b/>
        </w:rPr>
        <w:t xml:space="preserve">0.009 kg CO2e</w:t>
      </w:r>
    </w:p>
    <w:bookmarkEnd w:id="37"/>
    <w:bookmarkStart w:id="38" w:name="Xd548111eb795c4dd160dcd927c87597c6831c75"/>
    <w:p>
      <w:pPr>
        <w:pStyle w:val="Heading3"/>
      </w:pPr>
      <w:r>
        <w:t xml:space="preserve">Circular Economy Impacts (Avoided Emissions):</w:t>
      </w:r>
    </w:p>
    <w:p>
      <w:pPr>
        <w:pStyle w:val="FirstParagraph"/>
      </w:pPr>
      <w:r>
        <w:t xml:space="preserve">The 70% recyclability of ixdvyqyukz, coupled with uvoiydjglr’s take-back and recycling programs, contributes significantly to avoided emissions at a system level. By recovering and recycling materials, the need for virgin material production is reduced, leading to environmental benefits. For example, recycling aluminium can avoid substantial emissions compared to primary production, and recycled ABS can reduce emissions by 81% compared to virgin ABS. These avoided emissions represent a positive environmental impact beyond the direct product footprint, fostering a more circular economy model.</w:t>
      </w:r>
    </w:p>
    <w:p>
      <w:r>
        <w:pict>
          <v:rect style="width:0;height:1.5pt" o:hralign="center" o:hrstd="t" o:hr="t"/>
        </w:pict>
      </w:r>
    </w:p>
    <w:bookmarkEnd w:id="38"/>
    <w:bookmarkEnd w:id="39"/>
    <w:bookmarkStart w:id="41" w:name="X299a3717db401fbc63eac38de0814f3ad8939f4"/>
    <w:p>
      <w:pPr>
        <w:pStyle w:val="Heading1"/>
      </w:pPr>
      <w:r>
        <w:t xml:space="preserve">6. Total Product Carbon Footprint (PCF) Summary</w:t>
      </w:r>
    </w:p>
    <w:p>
      <w:pPr>
        <w:pStyle w:val="FirstParagraph"/>
      </w:pPr>
      <w:r>
        <w:t xml:space="preserve">The total Product Carbon Footprint for one functional unit of ixdvyqyukz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8.874</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1.8279</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12.637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0.009</w:t>
            </w:r>
          </w:p>
        </w:tc>
      </w:tr>
      <w:tr>
        <w:tc>
          <w:tcPr>
            <w:gridSpan w:val="2"/>
          </w:tcPr>
          <w:p>
            <w:pPr>
              <w:pStyle w:val="Compact"/>
              <w:jc w:val="left"/>
            </w:pPr>
            <w:r>
              <w:t xml:space="preserve">TOTAL PRODUCT CARBON FOOTPRINT</w:t>
            </w:r>
          </w:p>
        </w:tc>
        <w:tc>
          <w:tcPr/>
          <w:p>
            <w:pPr>
              <w:pStyle w:val="Compact"/>
              <w:jc w:val="left"/>
            </w:pPr>
            <w:r>
              <w:t xml:space="preserve">35.8479</w:t>
            </w:r>
          </w:p>
        </w:tc>
      </w:tr>
    </w:tbl>
    <w:p>
      <w:pPr>
        <w:pStyle w:val="BodyText"/>
      </w:pPr>
      <w:r>
        <w:t xml:space="preserve">Total Product Carbon Footprint: 35.85 kg CO2e (rounded)</w:t>
      </w:r>
    </w:p>
    <w:bookmarkStart w:id="40" w:name="emission-hotspots"/>
    <w:p>
      <w:pPr>
        <w:pStyle w:val="Heading2"/>
      </w:pPr>
      <w:r>
        <w:t xml:space="preserve">6.1. Emission Hotspots</w:t>
      </w:r>
    </w:p>
    <w:p>
      <w:pPr>
        <w:pStyle w:val="FirstParagraph"/>
      </w:pPr>
      <w:r>
        <w:t xml:space="preserve">The primary emission hotspots for ixdvyqyukz are identified as:</w:t>
      </w:r>
    </w:p>
    <w:p>
      <w:pPr>
        <w:numPr>
          <w:ilvl w:val="0"/>
          <w:numId w:val="1014"/>
        </w:numPr>
        <w:pStyle w:val="Compact"/>
      </w:pPr>
      <w:r>
        <w:rPr>
          <w:bCs/>
          <w:b/>
        </w:rPr>
        <w:t xml:space="preserve">Use Phase (34.87%):</w:t>
      </w:r>
      <w:r>
        <w:t xml:space="preserve"> </w:t>
      </w:r>
      <w:r>
        <w:t xml:space="preserve">Energy consumption during the product\'s 5-year lifespan contributes significantly.</w:t>
      </w:r>
    </w:p>
    <w:p>
      <w:pPr>
        <w:numPr>
          <w:ilvl w:val="0"/>
          <w:numId w:val="1014"/>
        </w:numPr>
        <w:pStyle w:val="Compact"/>
      </w:pPr>
      <w:r>
        <w:rPr>
          <w:bCs/>
          <w:b/>
        </w:rPr>
        <w:t xml:space="preserve">Transport (35.25%):</w:t>
      </w:r>
      <w:r>
        <w:t xml:space="preserve"> </w:t>
      </w:r>
      <w:r>
        <w:t xml:space="preserve">Dominated by the Last-Mile Delivery component, highlighting the impact of distribution logistics.</w:t>
      </w:r>
    </w:p>
    <w:p>
      <w:pPr>
        <w:numPr>
          <w:ilvl w:val="0"/>
          <w:numId w:val="1014"/>
        </w:numPr>
        <w:pStyle w:val="Compact"/>
      </w:pPr>
      <w:r>
        <w:rPr>
          <w:bCs/>
          <w:b/>
        </w:rPr>
        <w:t xml:space="preserve">Material Acquisition &amp; Processing (24.76%):</w:t>
      </w:r>
      <w:r>
        <w:t xml:space="preserve"> </w:t>
      </w:r>
      <w:r>
        <w:t xml:space="preserve">Particularly the Aluminium Casing and Printed Circuit Board.</w:t>
      </w:r>
    </w:p>
    <w:p>
      <w:r>
        <w:pict>
          <v:rect style="width:0;height:1.5pt" o:hralign="center" o:hrstd="t" o:hr="t"/>
        </w:pict>
      </w:r>
    </w:p>
    <w:bookmarkEnd w:id="40"/>
    <w:bookmarkEnd w:id="41"/>
    <w:bookmarkStart w:id="42" w:name="recommendations-for-emission-reduction"/>
    <w:p>
      <w:pPr>
        <w:pStyle w:val="Heading1"/>
      </w:pPr>
      <w:r>
        <w:t xml:space="preserve">7. Recommendations for Emission Reduction</w:t>
      </w:r>
    </w:p>
    <w:p>
      <w:pPr>
        <w:pStyle w:val="FirstParagraph"/>
      </w:pPr>
      <w:r>
        <w:t xml:space="preserve">Based on this PCF analysis, uvoiydjglr can focus on the following areas to reduce the environmental impact of ixdvyqyukz:</w:t>
      </w:r>
    </w:p>
    <w:p>
      <w:pPr>
        <w:numPr>
          <w:ilvl w:val="0"/>
          <w:numId w:val="1015"/>
        </w:numPr>
        <w:pStyle w:val="Compact"/>
      </w:pPr>
      <w:r>
        <w:rPr>
          <w:bCs/>
          <w:b/>
        </w:rPr>
        <w:t xml:space="preserve">Optimize Use Phase Energy Efficiency:</w:t>
      </w:r>
      <w:r>
        <w:t xml:space="preserve"> </w:t>
      </w:r>
      <w:r>
        <w:t xml:space="preserve">Redesign ixdvyqyukz for lower energy consumption during its operational life. Encourage user behavior that minimizes energy use, perhaps through smart features or power-saving modes.</w:t>
      </w:r>
    </w:p>
    <w:p>
      <w:pPr>
        <w:numPr>
          <w:ilvl w:val="0"/>
          <w:numId w:val="1015"/>
        </w:numPr>
        <w:pStyle w:val="Compact"/>
      </w:pPr>
      <w:r>
        <w:rPr>
          <w:bCs/>
          <w:b/>
        </w:rPr>
        <w:t xml:space="preserve">Enhance Last-Mile Logistics:</w:t>
      </w:r>
      <w:r>
        <w:t xml:space="preserve"> </w:t>
      </w:r>
      <w:r>
        <w:t xml:space="preserve">Investigate more efficient last-mile delivery options, such as electric vehicles, optimized route planning, or consolidated deliveries to reduce per-unit emissions. Partner with logistics providers committed to low-carbon solutions.</w:t>
      </w:r>
    </w:p>
    <w:p>
      <w:pPr>
        <w:numPr>
          <w:ilvl w:val="0"/>
          <w:numId w:val="1015"/>
        </w:numPr>
        <w:pStyle w:val="Compact"/>
      </w:pPr>
      <w:r>
        <w:rPr>
          <w:bCs/>
          <w:b/>
        </w:rPr>
        <w:t xml:space="preserve">Source Low-Carbon Materials:</w:t>
      </w:r>
      <w:r>
        <w:t xml:space="preserve"> </w:t>
      </w:r>
      <w:r>
        <w:t xml:space="preserve">Explore sourcing secondary (recycled) aluminium and plastics, which have significantly lower carbon footprints than virgin materials. Engage with suppliers to understand and reduce the embodied carbon in PCBs and electronic chips.</w:t>
      </w:r>
    </w:p>
    <w:p>
      <w:pPr>
        <w:numPr>
          <w:ilvl w:val="0"/>
          <w:numId w:val="1015"/>
        </w:numPr>
        <w:pStyle w:val="Compact"/>
      </w:pPr>
      <w:r>
        <w:rPr>
          <w:bCs/>
          <w:b/>
        </w:rPr>
        <w:t xml:space="preserve">Increase Renewable Energy in Production:</w:t>
      </w:r>
      <w:r>
        <w:t xml:space="preserve"> </w:t>
      </w:r>
      <w:r>
        <w:t xml:space="preserve">While 40% renewable energy is a good start, increasing the percentage of renewable energy used at the manufacturing facility in China (or transitioning to facilities with higher renewable energy mixes) will directly reduce Scope 2 emissions.</w:t>
      </w:r>
    </w:p>
    <w:p>
      <w:pPr>
        <w:numPr>
          <w:ilvl w:val="0"/>
          <w:numId w:val="1015"/>
        </w:numPr>
        <w:pStyle w:val="Compact"/>
      </w:pPr>
      <w:r>
        <w:rPr>
          <w:bCs/>
          <w:b/>
        </w:rPr>
        <w:t xml:space="preserve">Strengthen Circularity:</w:t>
      </w:r>
      <w:r>
        <w:t xml:space="preserve"> </w:t>
      </w:r>
      <w:r>
        <w:t xml:space="preserve">Promote and expand the existing take-back and recycling programs to maximize material recovery. Explore product design for disassembly and material purity to improve recyclability rates and reduce processing emissions.</w:t>
      </w:r>
    </w:p>
    <w:p>
      <w:r>
        <w:pict>
          <v:rect style="width:0;height:1.5pt" o:hralign="center" o:hrstd="t" o:hr="t"/>
        </w:pict>
      </w:r>
    </w:p>
    <w:bookmarkEnd w:id="42"/>
    <w:bookmarkStart w:id="43" w:name="conclusion"/>
    <w:p>
      <w:pPr>
        <w:pStyle w:val="Heading1"/>
      </w:pPr>
      <w:r>
        <w:t xml:space="preserve">8. Conclusion</w:t>
      </w:r>
    </w:p>
    <w:p>
      <w:pPr>
        <w:pStyle w:val="FirstParagraph"/>
      </w:pPr>
      <w:r>
        <w:t xml:space="preserve">This Product Carbon Footprint report provides uvoiydjglr with a comprehensive understanding of the environmental impact of ixdvyqyukz. By meticulously applying the GHG Protocol standards and leveraging both primary and secondary data, rdnimfzlir has identified critical emission hotspots. Addressing these areas through strategic interventions in product design, supply chain management, and circular economy initiatives will be crucial for uvoiydjglr to achieve its sustainability goals and demonstrate leadership in environmental stewardship.</w:t>
      </w:r>
    </w:p>
    <w:p>
      <w:pPr>
        <w:pStyle w:val="BodyText"/>
      </w:pPr>
      <w:r>
        <w:t xml:space="preserve">Confidential - Internal Use Only | Page</w:t>
      </w:r>
      <w:r>
        <w:t xml:space="preserve"> </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ixdvyqyukz</dc:title>
  <dc:creator/>
  <dc:description>High-detail Product Carbon Footprint (PCF) analysis report for ixdvyqyukz, performed by rdnimfzlir, Senior Sustainability Consultant at uvoiydjglr, adhering to GHG Protocol standards and 2026 LSR updates.</dc:description>
  <dc:language>en</dc:language>
  <cp:keywords/>
  <dcterms:created xsi:type="dcterms:W3CDTF">2026-07-15T09:32:52Z</dcterms:created>
  <dcterms:modified xsi:type="dcterms:W3CDTF">2026-07-15T09:32:52Z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