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iwgmexherl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iwgmexherl</w:t>
      </w:r>
    </w:p>
    <w:p>
      <w:pPr>
        <w:pStyle w:val="BodyText"/>
      </w:pPr>
      <w:r>
        <w:rPr>
          <w:bCs/>
          <w:b/>
        </w:rPr>
        <w:t xml:space="preserve">Company Name:</w:t>
      </w:r>
      <w:r>
        <w:t xml:space="preserve"> </w:t>
      </w:r>
      <w:r>
        <w:t xml:space="preserve">ydejrzufnn</w:t>
      </w:r>
    </w:p>
    <w:p>
      <w:pPr>
        <w:pStyle w:val="BodyText"/>
      </w:pPr>
      <w:r>
        <w:rPr>
          <w:bCs/>
          <w:b/>
        </w:rPr>
        <w:t xml:space="preserve">Senior Sustainability Consultant:</w:t>
      </w:r>
      <w:r>
        <w:t xml:space="preserve"> </w:t>
      </w:r>
      <w:r>
        <w:t xml:space="preserve">nomgmsqlnj</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Accuracy is dependent on the completeness and reliability of input data.</w:t>
      </w:r>
    </w:p>
    <w:bookmarkEnd w:id="20"/>
    <w:bookmarkStart w:id="21" w:name="Xc120c862be85470f1f4c7137bccc1dd846ca4bb"/>
    <w:p>
      <w:pPr>
        <w:pStyle w:val="Heading1"/>
      </w:pPr>
      <w:r>
        <w:t xml:space="preserve">Product Carbon Footprint Analysis for iwgmexherl</w:t>
      </w:r>
    </w:p>
    <w:p>
      <w:pPr>
        <w:pStyle w:val="FirstParagraph"/>
      </w:pPr>
      <w:r>
        <w:rPr>
          <w:bCs/>
          <w:b/>
        </w:rPr>
        <w:t xml:space="preserve">Company:</w:t>
      </w:r>
      <w:r>
        <w:t xml:space="preserve"> </w:t>
      </w:r>
      <w:r>
        <w:t xml:space="preserve">ydejrzufnn</w:t>
      </w:r>
    </w:p>
    <w:p>
      <w:pPr>
        <w:pStyle w:val="BodyText"/>
      </w:pPr>
      <w:r>
        <w:rPr>
          <w:bCs/>
          <w:b/>
        </w:rPr>
        <w:t xml:space="preserve">Consultant:</w:t>
      </w:r>
      <w:r>
        <w:t xml:space="preserve"> </w:t>
      </w:r>
      <w:r>
        <w:t xml:space="preserve">nomgmsqlnj, Senior Sustainability Consultant (GHG Protocol Specialist)</w:t>
      </w:r>
    </w:p>
    <w:p>
      <w:pPr>
        <w:pStyle w:val="BodyText"/>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iwgmexherl</w:t>
      </w:r>
      <w:r>
        <w:t xml:space="preserve">, manufactured by</w:t>
      </w:r>
      <w:r>
        <w:t xml:space="preserve"> </w:t>
      </w:r>
      <w:r>
        <w:rPr>
          <w:bCs/>
          <w:b/>
        </w:rPr>
        <w:t xml:space="preserve">ydejrzufnn</w:t>
      </w:r>
      <w:r>
        <w:t xml:space="preserve">. The assessment was conducted by</w:t>
      </w:r>
      <w:r>
        <w:t xml:space="preserve"> </w:t>
      </w:r>
      <w:r>
        <w:rPr>
          <w:bCs/>
          <w:b/>
        </w:rPr>
        <w:t xml:space="preserve">nomgmsqlnj</w:t>
      </w:r>
      <w:r>
        <w:t xml:space="preserve">, a Senior Sustainability Consultant specializing in the GHG Protocol. The analysis adheres to the GHG Protocol accounting standard, including the 2026 Land Sector and Removals (LSR) Standard, and ensures comprehensive Scope 3 coverage. The total carbon footprint for one functional unit of iwgmexherl is calculated to be</w:t>
      </w:r>
      <w:r>
        <w:t xml:space="preserve"> </w:t>
      </w:r>
      <w:r>
        <w:rPr>
          <w:bCs/>
          <w:b/>
        </w:rPr>
        <w:t xml:space="preserve">14.27 kg CO2e</w:t>
      </w:r>
      <w:r>
        <w:t xml:space="preserve">. The use phase of the product represents the most significant hotspot in its lifecycle, emphasizing the importance of energy efficiency during product operation.</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iwgmexherl follows the five-step methodology prescribed by leading industry standards, specifically the GHG Protocol. This approach ensures a systematic and comprehensive assessment of greenhouse gas emissions across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analysis is based on one functional unit (1.0 unit) of iwgmexherl.</w:t>
      </w:r>
    </w:p>
    <w:p>
      <w:pPr>
        <w:numPr>
          <w:ilvl w:val="0"/>
          <w:numId w:val="1001"/>
        </w:numPr>
        <w:pStyle w:val="Compact"/>
      </w:pPr>
      <w:r>
        <w:rPr>
          <w:bCs/>
          <w:b/>
        </w:rPr>
        <w:t xml:space="preserve">System Boundary:</w:t>
      </w:r>
      <w:r>
        <w:t xml:space="preserve"> </w:t>
      </w:r>
      <w:r>
        <w:t xml:space="preserve">The "factory_gate" system boundary is applied, encompassing all processes from raw material extraction, through manufacturing, to the point the product leaves the factory gate, as well as downstream phases including transport, use, and end-of-life.</w:t>
      </w:r>
    </w:p>
    <w:p>
      <w:pPr>
        <w:numPr>
          <w:ilvl w:val="0"/>
          <w:numId w:val="1001"/>
        </w:numPr>
        <w:pStyle w:val="Compact"/>
      </w:pPr>
      <w:r>
        <w:rPr>
          <w:bCs/>
          <w:b/>
        </w:rPr>
        <w:t xml:space="preserve">Geographic Scope:</w:t>
      </w:r>
      <w:r>
        <w:t xml:space="preserve"> </w:t>
      </w:r>
      <w:r>
        <w:t xml:space="preserve">The final production country is China, with a primary supply chain focus on Europe. The use phase is assumed to be within a European context.</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w:t>
      </w:r>
      <w:r>
        <w:t xml:space="preserve"> </w:t>
      </w:r>
      <w:r>
        <w:t xml:space="preserve">Product Standard, including compliance with the 2026 Land Sector and Removals (LSR) Standard for land use and carbon removals.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based on physical parameters (e.g., mass, energy consumption) for each lifecycle stage.</w:t>
      </w:r>
    </w:p>
    <w:bookmarkEnd w:id="23"/>
    <w:bookmarkStart w:id="24" w:name="map-lifecycle-lci-inventory-stages"/>
    <w:p>
      <w:pPr>
        <w:pStyle w:val="Heading3"/>
      </w:pPr>
      <w:r>
        <w:t xml:space="preserve">1.2. Map Lifecycle (LCI Inventory Stages)</w:t>
      </w:r>
    </w:p>
    <w:p>
      <w:pPr>
        <w:pStyle w:val="FirstParagraph"/>
      </w:pPr>
      <w:r>
        <w:t xml:space="preserve">The lifecycle of iwgmexherl is mapped across the following stages, providing a detailed breakdown of material and energy inputs:</w:t>
      </w:r>
    </w:p>
    <w:p>
      <w:pPr>
        <w:numPr>
          <w:ilvl w:val="0"/>
          <w:numId w:val="1002"/>
        </w:numPr>
        <w:pStyle w:val="Compact"/>
      </w:pPr>
      <w:r>
        <w:rPr>
          <w:bCs/>
          <w:b/>
        </w:rPr>
        <w:t xml:space="preserve">Material Acquisition &amp; Pre-processing:</w:t>
      </w:r>
      <w:r>
        <w:t xml:space="preserve"> </w:t>
      </w:r>
      <w:r>
        <w:t xml:space="preserve">Extraction, processing, and manufacturing of raw materials.</w:t>
      </w:r>
    </w:p>
    <w:p>
      <w:pPr>
        <w:numPr>
          <w:ilvl w:val="0"/>
          <w:numId w:val="1002"/>
        </w:numPr>
        <w:pStyle w:val="Compact"/>
      </w:pPr>
      <w:r>
        <w:rPr>
          <w:bCs/>
          <w:b/>
        </w:rPr>
        <w:t xml:space="preserve">Manufacturing:</w:t>
      </w:r>
      <w:r>
        <w:t xml:space="preserve"> </w:t>
      </w:r>
      <w:r>
        <w:t xml:space="preserve">Production processes at the</w:t>
      </w:r>
      <w:r>
        <w:t xml:space="preserve"> </w:t>
      </w:r>
      <w:r>
        <w:rPr>
          <w:bCs/>
          <w:b/>
        </w:rPr>
        <w:t xml:space="preserve">ydejrzufnn</w:t>
      </w:r>
      <w:r>
        <w:t xml:space="preserve"> </w:t>
      </w:r>
      <w:r>
        <w:t xml:space="preserve">facility in China, including energy consumption.</w:t>
      </w:r>
    </w:p>
    <w:p>
      <w:pPr>
        <w:numPr>
          <w:ilvl w:val="0"/>
          <w:numId w:val="1002"/>
        </w:numPr>
        <w:pStyle w:val="Compact"/>
      </w:pPr>
      <w:r>
        <w:rPr>
          <w:bCs/>
          <w:b/>
        </w:rPr>
        <w:t xml:space="preserve">Transportation (Upstream):</w:t>
      </w:r>
      <w:r>
        <w:t xml:space="preserve"> </w:t>
      </w:r>
      <w:r>
        <w:t xml:space="preserve">Logistics of materials from suppliers to the manufacturing facility.</w:t>
      </w:r>
    </w:p>
    <w:p>
      <w:pPr>
        <w:numPr>
          <w:ilvl w:val="0"/>
          <w:numId w:val="1002"/>
        </w:numPr>
        <w:pStyle w:val="Compact"/>
      </w:pPr>
      <w:r>
        <w:rPr>
          <w:bCs/>
          <w:b/>
        </w:rPr>
        <w:t xml:space="preserve">Transportation (Downstream):</w:t>
      </w:r>
      <w:r>
        <w:t xml:space="preserve"> </w:t>
      </w:r>
      <w:r>
        <w:t xml:space="preserve">Logistics of the finished product from the factory to the customer, including last-mile delivery.</w:t>
      </w:r>
    </w:p>
    <w:p>
      <w:pPr>
        <w:numPr>
          <w:ilvl w:val="0"/>
          <w:numId w:val="1002"/>
        </w:numPr>
        <w:pStyle w:val="Compact"/>
      </w:pPr>
      <w:r>
        <w:rPr>
          <w:bCs/>
          <w:b/>
        </w:rPr>
        <w:t xml:space="preserve">Use Phase:</w:t>
      </w:r>
      <w:r>
        <w:t xml:space="preserve"> </w:t>
      </w:r>
      <w:r>
        <w:t xml:space="preserve">Energy consumption and typical usage patterns during the product\'s lifespan.</w:t>
      </w:r>
    </w:p>
    <w:p>
      <w:pPr>
        <w:numPr>
          <w:ilvl w:val="0"/>
          <w:numId w:val="1002"/>
        </w:numPr>
        <w:pStyle w:val="Compact"/>
      </w:pPr>
      <w:r>
        <w:rPr>
          <w:bCs/>
          <w:b/>
        </w:rPr>
        <w:t xml:space="preserve">End-of-Life:</w:t>
      </w:r>
      <w:r>
        <w:t xml:space="preserve"> </w:t>
      </w:r>
      <w:r>
        <w:t xml:space="preserve">Disposal, recycling, and treatment of the product at the end of its useful life.</w:t>
      </w:r>
    </w:p>
    <w:p>
      <w:r>
        <w:pict>
          <v:rect style="width:0;height:1.5pt" o:hralign="center" o:hrstd="t" o:hr="t"/>
        </w:pict>
      </w:r>
    </w:p>
    <w:bookmarkEnd w:id="24"/>
    <w:bookmarkEnd w:id="25"/>
    <w:bookmarkStart w:id="31" w:name="X7b6d01ce7b6bfe45f00681616505557cddf238f"/>
    <w:p>
      <w:pPr>
        <w:pStyle w:val="Heading2"/>
      </w:pPr>
      <w:r>
        <w:t xml:space="preserve">2. Data Collection (Primary/Secondary Data Points)</w:t>
      </w:r>
    </w:p>
    <w:p>
      <w:pPr>
        <w:pStyle w:val="FirstParagraph"/>
      </w:pPr>
      <w:r>
        <w:t xml:space="preserve">Data was collected from various sources, prioritizing primary data where available and supplementing with robust secondary data (industry-standard emission factors) from databases such as Ecoinvent and DEFRA for high accuracy.</w:t>
      </w:r>
    </w:p>
    <w:bookmarkStart w:id="26" w:name="X766dece61f9f2f6c52a37c91702618d7407a3a1"/>
    <w:p>
      <w:pPr>
        <w:pStyle w:val="Heading3"/>
      </w:pPr>
      <w:r>
        <w:t xml:space="preserve">2.1. Detailed Bill of Materials (BOM) for iwgmexherl</w:t>
      </w:r>
    </w:p>
    <w:p>
      <w:pPr>
        <w:pStyle w:val="FirstParagraph"/>
      </w:pPr>
      <w:r>
        <w:t xml:space="preserve">The following detailed Bill of Materials (BOM) was used to calculate the material acquisition and pre-processing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0.003</w:t>
            </w:r>
          </w:p>
        </w:tc>
        <w:tc>
          <w:tcPr/>
          <w:p>
            <w:pPr>
              <w:pStyle w:val="Compact"/>
              <w:jc w:val="left"/>
            </w:pPr>
            <w:r>
              <w:t xml:space="preserve">0.03</w:t>
            </w:r>
          </w:p>
        </w:tc>
      </w:tr>
      <w:tr>
        <w:tc>
          <w:tcPr/>
          <w:p>
            <w:pPr>
              <w:pStyle w:val="Compact"/>
              <w:jc w:val="left"/>
            </w:pPr>
            <w:r>
              <w:t xml:space="preserve">1002</w:t>
            </w:r>
          </w:p>
        </w:tc>
        <w:tc>
          <w:tcPr/>
          <w:p>
            <w:pPr>
              <w:pStyle w:val="Compact"/>
              <w:jc w:val="left"/>
            </w:pPr>
            <w:r>
              <w:t xml:space="preserve">Polymer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0.002</w:t>
            </w:r>
          </w:p>
        </w:tc>
        <w:tc>
          <w:tcPr/>
          <w:p>
            <w:pPr>
              <w:pStyle w:val="Compact"/>
              <w:jc w:val="left"/>
            </w:pPr>
            <w:r>
              <w:t xml:space="preserve">0.4</w:t>
            </w:r>
          </w:p>
        </w:tc>
      </w:tr>
      <w:tr>
        <w:tc>
          <w:tcPr/>
          <w:p>
            <w:pPr>
              <w:pStyle w:val="Compact"/>
              <w:jc w:val="left"/>
            </w:pPr>
            <w:r>
              <w:t xml:space="preserve">1003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0.005</w:t>
            </w:r>
          </w:p>
        </w:tc>
        <w:tc>
          <w:tcPr/>
          <w:p>
            <w:pPr>
              <w:pStyle w:val="Compact"/>
              <w:jc w:val="left"/>
            </w:pPr>
            <w:r>
              <w:t xml:space="preserve">0.25</w:t>
            </w:r>
          </w:p>
        </w:tc>
      </w:tr>
      <w:tr>
        <w:tc>
          <w:tcPr/>
          <w:p>
            <w:pPr>
              <w:pStyle w:val="Compact"/>
              <w:jc w:val="left"/>
            </w:pPr>
            <w:r>
              <w:t xml:space="preserve">1004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0.001</w:t>
            </w:r>
          </w:p>
        </w:tc>
        <w:tc>
          <w:tcPr/>
          <w:p>
            <w:pPr>
              <w:pStyle w:val="Compact"/>
              <w:jc w:val="left"/>
            </w:pPr>
            <w:r>
              <w:t xml:space="preserve">0.1</w:t>
            </w:r>
          </w:p>
        </w:tc>
      </w:tr>
    </w:tbl>
    <w:p>
      <w:pPr>
        <w:pStyle w:val="BodyText"/>
      </w:pPr>
      <w:r>
        <w:rPr>
          <w:bCs/>
          <w:b/>
        </w:rPr>
        <w:t xml:space="preserve">Total Material Acquisition &amp; Pre-processing Emissions:</w:t>
      </w:r>
      <w:r>
        <w:t xml:space="preserve"> </w:t>
      </w:r>
      <w:r>
        <w:t xml:space="preserve">0.78 kg CO2e</w:t>
      </w:r>
    </w:p>
    <w:bookmarkEnd w:id="26"/>
    <w:bookmarkStart w:id="27" w:name="logistics-data"/>
    <w:p>
      <w:pPr>
        <w:pStyle w:val="Heading3"/>
      </w:pPr>
      <w:r>
        <w:t xml:space="preserve">2.2. Logistics Data</w:t>
      </w:r>
    </w:p>
    <w:p>
      <w:pPr>
        <w:numPr>
          <w:ilvl w:val="0"/>
          <w:numId w:val="1003"/>
        </w:numPr>
        <w:pStyle w:val="Compact"/>
      </w:pPr>
      <w:r>
        <w:rPr>
          <w:bCs/>
          <w:b/>
        </w:rPr>
        <w:t xml:space="preserve">Primary Transport Mode:</w:t>
      </w:r>
      <w:r>
        <w:t xml:space="preserve"> </w:t>
      </w:r>
      <w:r>
        <w:t xml:space="preserve">Select Mode (assumed Heavy Goods Vehicle - HGV)</w:t>
      </w:r>
    </w:p>
    <w:p>
      <w:pPr>
        <w:numPr>
          <w:ilvl w:val="0"/>
          <w:numId w:val="1003"/>
        </w:numPr>
        <w:pStyle w:val="Compact"/>
      </w:pPr>
      <w:r>
        <w:rPr>
          <w:bCs/>
          <w:b/>
        </w:rPr>
        <w:t xml:space="preserve">Transport Distance:</w:t>
      </w:r>
      <w:r>
        <w:t xml:space="preserve"> </w:t>
      </w:r>
      <w:r>
        <w:t xml:space="preserve">1500 km</w:t>
      </w:r>
    </w:p>
    <w:p>
      <w:pPr>
        <w:numPr>
          <w:ilvl w:val="0"/>
          <w:numId w:val="1003"/>
        </w:numPr>
        <w:pStyle w:val="Compact"/>
      </w:pPr>
      <w:r>
        <w:rPr>
          <w:bCs/>
          <w:b/>
        </w:rPr>
        <w:t xml:space="preserve">Last-Mile Delivery Channel:</w:t>
      </w:r>
      <w:r>
        <w:t xml:space="preserve"> </w:t>
      </w:r>
      <w:r>
        <w:t xml:space="preserve">Delivery Type (assumed Light Commercial Vehicle - LCV)</w:t>
      </w:r>
    </w:p>
    <w:bookmarkEnd w:id="27"/>
    <w:bookmarkStart w:id="28" w:name="production-energy-data"/>
    <w:p>
      <w:pPr>
        <w:pStyle w:val="Heading3"/>
      </w:pPr>
      <w:r>
        <w:t xml:space="preserve">2.3. Production Energy Data</w:t>
      </w:r>
    </w:p>
    <w:p>
      <w:pPr>
        <w:numPr>
          <w:ilvl w:val="0"/>
          <w:numId w:val="1004"/>
        </w:numPr>
        <w:pStyle w:val="Compact"/>
      </w:pPr>
      <w:r>
        <w:rPr>
          <w:bCs/>
          <w:b/>
        </w:rPr>
        <w:t xml:space="preserve">Renewable Energy Usage:</w:t>
      </w:r>
      <w:r>
        <w:t xml:space="preserve"> </w:t>
      </w:r>
      <w:r>
        <w:t xml:space="preserve">75% (kfypdqfqog)</w:t>
      </w:r>
    </w:p>
    <w:p>
      <w:pPr>
        <w:numPr>
          <w:ilvl w:val="0"/>
          <w:numId w:val="1004"/>
        </w:numPr>
        <w:pStyle w:val="Compact"/>
      </w:pPr>
      <w:r>
        <w:rPr>
          <w:bCs/>
          <w:b/>
        </w:rPr>
        <w:t xml:space="preserve">Energy Intensity (kWh/unit):</w:t>
      </w:r>
      <w:r>
        <w:t xml:space="preserve"> </w:t>
      </w:r>
      <w:r>
        <w:t xml:space="preserve">5 kWh/unit (lqqydhvrwu)</w:t>
      </w:r>
    </w:p>
    <w:bookmarkEnd w:id="28"/>
    <w:bookmarkStart w:id="29"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5 years (fenhsdtqfr)</w:t>
      </w:r>
    </w:p>
    <w:p>
      <w:pPr>
        <w:numPr>
          <w:ilvl w:val="0"/>
          <w:numId w:val="1005"/>
        </w:numPr>
        <w:pStyle w:val="Compact"/>
      </w:pPr>
      <w:r>
        <w:rPr>
          <w:bCs/>
          <w:b/>
        </w:rPr>
        <w:t xml:space="preserve">Energy Consumption in Use:</w:t>
      </w:r>
      <w:r>
        <w:t xml:space="preserve"> </w:t>
      </w:r>
      <w:r>
        <w:t xml:space="preserve">10 kWh/year (ptpnlkqwzk)</w:t>
      </w:r>
    </w:p>
    <w:bookmarkEnd w:id="29"/>
    <w:bookmarkStart w:id="30" w:name="end-of-life-eol-data"/>
    <w:p>
      <w:pPr>
        <w:pStyle w:val="Heading3"/>
      </w:pPr>
      <w:r>
        <w:t xml:space="preserve">2.5. End-of-Life (EoL) Data</w:t>
      </w:r>
    </w:p>
    <w:p>
      <w:pPr>
        <w:numPr>
          <w:ilvl w:val="0"/>
          <w:numId w:val="1006"/>
        </w:numPr>
        <w:pStyle w:val="Compact"/>
      </w:pPr>
      <w:r>
        <w:rPr>
          <w:bCs/>
          <w:b/>
        </w:rPr>
        <w:t xml:space="preserve">Recyclability Percentage:</w:t>
      </w:r>
      <w:r>
        <w:t xml:space="preserve"> </w:t>
      </w:r>
      <w:r>
        <w:t xml:space="preserve">80% (shvrjslvnn)</w:t>
      </w:r>
    </w:p>
    <w:p>
      <w:pPr>
        <w:numPr>
          <w:ilvl w:val="0"/>
          <w:numId w:val="1006"/>
        </w:numPr>
        <w:pStyle w:val="Compact"/>
      </w:pPr>
      <w:r>
        <w:rPr>
          <w:bCs/>
          <w:b/>
        </w:rPr>
        <w:t xml:space="preserve">Circular/Take-back Programs:</w:t>
      </w:r>
      <w:r>
        <w:t xml:space="preserve"> </w:t>
      </w:r>
      <w:r>
        <w:t xml:space="preserve">Active Take-back program for electronics (wmnpnufkro)</w:t>
      </w:r>
    </w:p>
    <w:p>
      <w:r>
        <w:pict>
          <v:rect style="width:0;height:1.5pt" o:hralign="center" o:hrstd="t" o:hr="t"/>
        </w:pict>
      </w:r>
    </w:p>
    <w:bookmarkEnd w:id="30"/>
    <w:bookmarkEnd w:id="31"/>
    <w:bookmarkStart w:id="39" w:name="Xb404f6bea4a0013006ec7a9103609d9ea6643c1"/>
    <w:p>
      <w:pPr>
        <w:pStyle w:val="Heading2"/>
      </w:pPr>
      <w:r>
        <w:t xml:space="preserve">3. Calculate Emissions (Activity * Emission Factor = CO2e)</w:t>
      </w:r>
    </w:p>
    <w:p>
      <w:pPr>
        <w:pStyle w:val="FirstParagraph"/>
      </w:pPr>
      <w:r>
        <w:t xml:space="preserve">Emissions were calculated for each lifecycle stage, utilizing the collected data and appropriate emission factors. All calculations are reported in kilograms of Carbon Dioxide Equivalent (kg CO2e).</w:t>
      </w:r>
    </w:p>
    <w:bookmarkStart w:id="32" w:name="X1198c8af25dd1a2ebffa686809674f976343a37"/>
    <w:p>
      <w:pPr>
        <w:pStyle w:val="Heading3"/>
      </w:pPr>
      <w:r>
        <w:t xml:space="preserve">3.1. Material Acquisition &amp; Pre-processing (Scope 3 - Upstream)</w:t>
      </w:r>
    </w:p>
    <w:p>
      <w:pPr>
        <w:pStyle w:val="FirstParagraph"/>
      </w:pPr>
      <w:r>
        <w:t xml:space="preserve">Based on the detailed BOM, the sum of direct carbon impacts from material production and pre-processing stages is</w:t>
      </w:r>
      <w:r>
        <w:t xml:space="preserve"> </w:t>
      </w:r>
      <w:r>
        <w:rPr>
          <w:bCs/>
          <w:b/>
        </w:rPr>
        <w:t xml:space="preserve">0.78 kg CO2e</w:t>
      </w:r>
      <w:r>
        <w:t xml:space="preserve">. This represents the emissions associated with obtaining and preparing the raw materials for manufacturing.</w:t>
      </w:r>
    </w:p>
    <w:bookmarkEnd w:id="32"/>
    <w:bookmarkStart w:id="33" w:name="X2d7d2731a5ec24109560c3a324a923b9e4b36fa"/>
    <w:p>
      <w:pPr>
        <w:pStyle w:val="Heading3"/>
      </w:pPr>
      <w:r>
        <w:t xml:space="preserve">3.2. Manufacturing (Scope 2 - Purchased Electricity)</w:t>
      </w:r>
    </w:p>
    <w:p>
      <w:pPr>
        <w:pStyle w:val="FirstParagraph"/>
      </w:pPr>
      <w:r>
        <w:t xml:space="preserve">The manufacturing process consumes 5 kWh/unit. With 75% renewable energy usage, 1.25 kWh/unit is sourced from the conventional grid. Using an average grid emission factor for China of 0.6 kg CO2e/kWh, manufacturing emissions are calculated as:</w:t>
      </w:r>
    </w:p>
    <w:p>
      <w:pPr>
        <w:pStyle w:val="BodyText"/>
      </w:pPr>
      <w:r>
        <w:t xml:space="preserve">Emissions = 1.25 kWh/unit × 0.6 kg CO2e/kWh =</w:t>
      </w:r>
      <w:r>
        <w:t xml:space="preserve"> </w:t>
      </w:r>
      <w:r>
        <w:rPr>
          <w:bCs/>
          <w:b/>
        </w:rPr>
        <w:t xml:space="preserve">0.75 kg CO2e</w:t>
      </w:r>
      <w:r>
        <w:t xml:space="preserve">.</w:t>
      </w:r>
    </w:p>
    <w:p>
      <w:pPr>
        <w:pStyle w:val="BodyText"/>
      </w:pPr>
      <w:r>
        <w:rPr>
          <w:iCs/>
          <w:i/>
        </w:rPr>
        <w:t xml:space="preserve">(Note: Based on provided parameters, no direct Scope 1 emissions from production were identified.)</w:t>
      </w:r>
    </w:p>
    <w:bookmarkEnd w:id="33"/>
    <w:bookmarkStart w:id="36" w:name="X981923b8cb60f0edee598a5efe02199461582eb"/>
    <w:p>
      <w:pPr>
        <w:pStyle w:val="Heading3"/>
      </w:pPr>
      <w:r>
        <w:t xml:space="preserve">3.3. Transportation (Scope 3 - Upstream &amp; Downstream)</w:t>
      </w:r>
    </w:p>
    <w:bookmarkStart w:id="34" w:name="X86c0f34a75b294f5538715cb6d8081b06081652"/>
    <w:p>
      <w:pPr>
        <w:pStyle w:val="Heading4"/>
      </w:pPr>
      <w:r>
        <w:t xml:space="preserve">3.3.1. Upstream Transportation (Materials to Factory)</w:t>
      </w:r>
    </w:p>
    <w:p>
      <w:pPr>
        <w:pStyle w:val="FirstParagraph"/>
      </w:pPr>
      <w:r>
        <w:t xml:space="preserve">Assuming raw materials are transported by Heavy Goods Vehicle (HGV) over 1500 km. The total weight of raw materials from the BOM is 0.36 kg. Using an HGV emission factor of 0.00008 kg CO2e/kg-km:</w:t>
      </w:r>
    </w:p>
    <w:p>
      <w:pPr>
        <w:pStyle w:val="BodyText"/>
      </w:pPr>
      <w:r>
        <w:t xml:space="preserve">Emissions = 0.36 kg (material weight) × 1500 km (distance) × 0.00008 kg CO2e/kg-km =</w:t>
      </w:r>
      <w:r>
        <w:t xml:space="preserve"> </w:t>
      </w:r>
      <w:r>
        <w:rPr>
          <w:bCs/>
          <w:b/>
        </w:rPr>
        <w:t xml:space="preserve">0.0432 kg CO2e</w:t>
      </w:r>
      <w:r>
        <w:t xml:space="preserve">.</w:t>
      </w:r>
    </w:p>
    <w:bookmarkEnd w:id="34"/>
    <w:bookmarkStart w:id="35" w:name="X068cfd5c43fb5bab7f106759a50ceb419cee4ea"/>
    <w:p>
      <w:pPr>
        <w:pStyle w:val="Heading4"/>
      </w:pPr>
      <w:r>
        <w:t xml:space="preserve">3.3.2. Downstream Transportation (Factory to Customer)</w:t>
      </w:r>
    </w:p>
    <w:p>
      <w:pPr>
        <w:pStyle w:val="FirstParagraph"/>
      </w:pPr>
      <w:r>
        <w:t xml:space="preserve">The finished product (estimated 0.5 kg per unit) is transported 1500 km from the factory. This includes a primary transport leg (assumed HGV) and a last-mile delivery leg (assumed Light Commercial Vehicle - LCV).</w:t>
      </w:r>
    </w:p>
    <w:p>
      <w:pPr>
        <w:numPr>
          <w:ilvl w:val="0"/>
          <w:numId w:val="1007"/>
        </w:numPr>
        <w:pStyle w:val="Compact"/>
      </w:pPr>
      <w:r>
        <w:rPr>
          <w:bCs/>
          <w:b/>
        </w:rPr>
        <w:t xml:space="preserve">Primary Transport (HGV):</w:t>
      </w:r>
      <w:r>
        <w:t xml:space="preserve"> </w:t>
      </w:r>
      <w:r>
        <w:t xml:space="preserve">0.5 kg (product weight) × 1500 km (distance) × 0.00008 kg CO2e/kg-km (HGV EF) =</w:t>
      </w:r>
      <w:r>
        <w:t xml:space="preserve"> </w:t>
      </w:r>
      <w:r>
        <w:rPr>
          <w:bCs/>
          <w:b/>
        </w:rPr>
        <w:t xml:space="preserve">0.06 kg CO2e</w:t>
      </w:r>
      <w:r>
        <w:t xml:space="preserve">.</w:t>
      </w:r>
    </w:p>
    <w:p>
      <w:pPr>
        <w:numPr>
          <w:ilvl w:val="0"/>
          <w:numId w:val="1007"/>
        </w:numPr>
        <w:pStyle w:val="Compact"/>
      </w:pPr>
      <w:r>
        <w:rPr>
          <w:bCs/>
          <w:b/>
        </w:rPr>
        <w:t xml:space="preserve">Last-Mile Delivery (LCV):</w:t>
      </w:r>
      <w:r>
        <w:t xml:space="preserve"> </w:t>
      </w:r>
      <w:r>
        <w:t xml:space="preserve">Assuming a typical 50 km last-mile distance for distribution to the end-user. Using an LCV emission factor of 0.005 kg CO2e/unit-km (representing the distributed impact over multiple packages):</w:t>
      </w:r>
      <w:r>
        <w:br/>
      </w:r>
      <w:r>
        <w:t xml:space="preserve">Emissions = 1 unit × 50 km (distance) × 0.005 kg CO2e/unit-km =</w:t>
      </w:r>
      <w:r>
        <w:t xml:space="preserve"> </w:t>
      </w:r>
      <w:r>
        <w:rPr>
          <w:bCs/>
          <w:b/>
        </w:rPr>
        <w:t xml:space="preserve">0.25 kg CO2e</w:t>
      </w:r>
      <w:r>
        <w:t xml:space="preserve">.</w:t>
      </w:r>
    </w:p>
    <w:p>
      <w:pPr>
        <w:pStyle w:val="FirstParagraph"/>
      </w:pPr>
      <w:r>
        <w:rPr>
          <w:bCs/>
          <w:b/>
        </w:rPr>
        <w:t xml:space="preserve">Total Transportation Emissions:</w:t>
      </w:r>
      <w:r>
        <w:t xml:space="preserve"> </w:t>
      </w:r>
      <w:r>
        <w:t xml:space="preserve">0.0432 kg CO2e (upstream) + 0.06 kg CO2e (primary downstream) + 0.25 kg CO2e (last-mile) =</w:t>
      </w:r>
      <w:r>
        <w:t xml:space="preserve"> </w:t>
      </w:r>
      <w:r>
        <w:rPr>
          <w:bCs/>
          <w:b/>
        </w:rPr>
        <w:t xml:space="preserve">0.3532 kg CO2e</w:t>
      </w:r>
      <w:r>
        <w:t xml:space="preserve">.</w:t>
      </w:r>
    </w:p>
    <w:bookmarkEnd w:id="35"/>
    <w:bookmarkEnd w:id="36"/>
    <w:bookmarkStart w:id="37" w:name="use-phase-scope-3---downstream"/>
    <w:p>
      <w:pPr>
        <w:pStyle w:val="Heading3"/>
      </w:pPr>
      <w:r>
        <w:t xml:space="preserve">3.4. Use Phase (Scope 3 - Downstream)</w:t>
      </w:r>
    </w:p>
    <w:p>
      <w:pPr>
        <w:pStyle w:val="FirstParagraph"/>
      </w:pPr>
      <w:r>
        <w:t xml:space="preserve">Over a 5-year lifespan, the product consumes 10 kWh/year. Assuming an average EU grid emission factor of 0.25 kg CO2e/kWh (due to the Europe-focused supply chain and likely use region):</w:t>
      </w:r>
    </w:p>
    <w:p>
      <w:pPr>
        <w:pStyle w:val="BodyText"/>
      </w:pPr>
      <w:r>
        <w:t xml:space="preserve">Emissions = 5 years × 10 kWh/year × 0.25 kg CO2e/kWh =</w:t>
      </w:r>
      <w:r>
        <w:t xml:space="preserve"> </w:t>
      </w:r>
      <w:r>
        <w:rPr>
          <w:bCs/>
          <w:b/>
        </w:rPr>
        <w:t xml:space="preserve">12.5 kg CO2e</w:t>
      </w:r>
      <w:r>
        <w:t xml:space="preserve">.</w:t>
      </w:r>
    </w:p>
    <w:bookmarkEnd w:id="37"/>
    <w:bookmarkStart w:id="38" w:name="end-of-life-eol-scope-3---downstream"/>
    <w:p>
      <w:pPr>
        <w:pStyle w:val="Heading3"/>
      </w:pPr>
      <w:r>
        <w:t xml:space="preserve">3.5. End-of-Life (EoL) (Scope 3 - Downstream)</w:t>
      </w:r>
    </w:p>
    <w:p>
      <w:pPr>
        <w:pStyle w:val="FirstParagraph"/>
      </w:pPr>
      <w:r>
        <w:t xml:space="preserve">With an 80% recyclability percentage and an active take-back program, the EoL phase shows a net benefit, reflecting circular economy impacts. The total material weight for EoL is 0.36 kg.</w:t>
      </w:r>
    </w:p>
    <w:p>
      <w:pPr>
        <w:numPr>
          <w:ilvl w:val="0"/>
          <w:numId w:val="1008"/>
        </w:numPr>
        <w:pStyle w:val="Compact"/>
      </w:pPr>
      <w:r>
        <w:rPr>
          <w:bCs/>
          <w:b/>
        </w:rPr>
        <w:t xml:space="preserve">Non-recycled portion (20%):</w:t>
      </w:r>
      <w:r>
        <w:t xml:space="preserve"> </w:t>
      </w:r>
      <w:r>
        <w:t xml:space="preserve">For the 0.072 kg of non-recycled material, an estimated impact of 50% of its initial material acquisition footprint (per kg) is applied, accounting for disposal emissions. This results in an emission of 0.078 kg CO2e.</w:t>
      </w:r>
    </w:p>
    <w:p>
      <w:pPr>
        <w:numPr>
          <w:ilvl w:val="0"/>
          <w:numId w:val="1008"/>
        </w:numPr>
        <w:pStyle w:val="Compact"/>
      </w:pPr>
      <w:r>
        <w:rPr>
          <w:bCs/>
          <w:b/>
        </w:rPr>
        <w:t xml:space="preserve">Recycled portion (80%):</w:t>
      </w:r>
      <w:r>
        <w:t xml:space="preserve"> </w:t>
      </w:r>
      <w:r>
        <w:t xml:space="preserve">For the 0.288 kg of recycled material, a 30% avoided emissions credit based on its initial material acquisition footprint (per kg) is applied, reflecting displacement of virgin materials. This results in a credit of -0.187 kg CO2e.</w:t>
      </w:r>
    </w:p>
    <w:p>
      <w:pPr>
        <w:pStyle w:val="FirstParagraph"/>
      </w:pPr>
      <w:r>
        <w:rPr>
          <w:bCs/>
          <w:b/>
        </w:rPr>
        <w:t xml:space="preserve">Total End-of-Life Emissions:</w:t>
      </w:r>
      <w:r>
        <w:t xml:space="preserve"> </w:t>
      </w:r>
      <w:r>
        <w:t xml:space="preserve">0.078 kg CO2e + (-0.187 kg CO2e) =</w:t>
      </w:r>
      <w:r>
        <w:t xml:space="preserve"> </w:t>
      </w:r>
      <w:r>
        <w:rPr>
          <w:bCs/>
          <w:b/>
        </w:rPr>
        <w:t xml:space="preserve">-0.109 kg CO2e</w:t>
      </w:r>
      <w:r>
        <w:t xml:space="preserve"> </w:t>
      </w:r>
      <w:r>
        <w:t xml:space="preserve">(net avoided emissions).</w:t>
      </w:r>
    </w:p>
    <w:p>
      <w:r>
        <w:pict>
          <v:rect style="width:0;height:1.5pt" o:hralign="center" o:hrstd="t" o:hr="t"/>
        </w:pict>
      </w:r>
    </w:p>
    <w:bookmarkEnd w:id="38"/>
    <w:bookmarkEnd w:id="39"/>
    <w:bookmarkStart w:id="40" w:name="ghg-protocol-emission-summary-by-scope"/>
    <w:p>
      <w:pPr>
        <w:pStyle w:val="Heading2"/>
      </w:pPr>
      <w:r>
        <w:t xml:space="preserve">4. GHG Protocol Emission Summary by Scope</w:t>
      </w:r>
    </w:p>
    <w:p>
      <w:pPr>
        <w:pStyle w:val="FirstParagraph"/>
      </w:pPr>
      <w:r>
        <w:t xml:space="preserve">The total Product Carbon Footprint for one unit of iwgmexherl is</w:t>
      </w:r>
      <w:r>
        <w:t xml:space="preserve"> </w:t>
      </w:r>
      <w:r>
        <w:rPr>
          <w:bCs/>
          <w:b/>
        </w:rPr>
        <w:t xml:space="preserve">14.27 kg CO2e</w:t>
      </w:r>
      <w:r>
        <w:t xml:space="preser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(e.g., owned/controlled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0.75</w:t>
            </w:r>
          </w:p>
        </w:tc>
        <w:tc>
          <w:tcPr/>
          <w:p>
            <w:pPr>
              <w:pStyle w:val="Compact"/>
              <w:jc w:val="left"/>
            </w:pPr>
            <w:r>
              <w:t xml:space="preserve">5.25%</w:t>
            </w:r>
          </w:p>
        </w:tc>
      </w:tr>
      <w:tr>
        <w:tc>
          <w:tcPr>
            <w:vMerge w:val="restart"/>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0.78</w:t>
            </w:r>
          </w:p>
        </w:tc>
        <w:tc>
          <w:tcPr/>
          <w:p>
            <w:pPr>
              <w:pStyle w:val="Compact"/>
              <w:jc w:val="left"/>
            </w:pPr>
            <w:r>
              <w:t xml:space="preserve">5.46%</w:t>
            </w:r>
          </w:p>
        </w:tc>
      </w:tr>
      <w:tr>
        <w:tc>
          <w:tcPr>
            <w:gridSpan w:val="1"/>
            <w:vMerge w:val="continue"/>
          </w:tcPr>
          <w:p>
            <w:pPr/>
          </w:p>
        </w:tc>
        <w:tc>
          <w:tcPr/>
          <w:p>
            <w:pPr>
              <w:pStyle w:val="Compact"/>
              <w:jc w:val="left"/>
            </w:pPr>
            <w:r>
              <w:t xml:space="preserve">Upstream Transportation (Materials)</w:t>
            </w:r>
          </w:p>
        </w:tc>
        <w:tc>
          <w:tcPr/>
          <w:p>
            <w:pPr>
              <w:pStyle w:val="Compact"/>
              <w:jc w:val="left"/>
            </w:pPr>
            <w:r>
              <w:t xml:space="preserve">0.04</w:t>
            </w:r>
          </w:p>
        </w:tc>
        <w:tc>
          <w:tcPr/>
          <w:p>
            <w:pPr>
              <w:pStyle w:val="Compact"/>
              <w:jc w:val="left"/>
            </w:pPr>
            <w:r>
              <w:t xml:space="preserve">0.28%</w:t>
            </w:r>
          </w:p>
        </w:tc>
      </w:tr>
      <w:tr>
        <w:tc>
          <w:tcPr>
            <w:gridSpan w:val="1"/>
            <w:vMerge w:val="continue"/>
          </w:tcPr>
          <w:p>
            <w:pPr/>
          </w:p>
        </w:tc>
        <w:tc>
          <w:tcPr/>
          <w:p>
            <w:pPr>
              <w:pStyle w:val="Compact"/>
              <w:jc w:val="left"/>
            </w:pPr>
            <w:r>
              <w:t xml:space="preserve">Downstream Transportation (Primary)</w:t>
            </w:r>
          </w:p>
        </w:tc>
        <w:tc>
          <w:tcPr/>
          <w:p>
            <w:pPr>
              <w:pStyle w:val="Compact"/>
              <w:jc w:val="left"/>
            </w:pPr>
            <w:r>
              <w:t xml:space="preserve">0.06</w:t>
            </w:r>
          </w:p>
        </w:tc>
        <w:tc>
          <w:tcPr/>
          <w:p>
            <w:pPr>
              <w:pStyle w:val="Compact"/>
              <w:jc w:val="left"/>
            </w:pPr>
            <w:r>
              <w:t xml:space="preserve">0.42%</w:t>
            </w:r>
          </w:p>
        </w:tc>
      </w:tr>
      <w:tr>
        <w:tc>
          <w:tcPr>
            <w:gridSpan w:val="1"/>
            <w:vMerge w:val="continue"/>
          </w:tcPr>
          <w:p>
            <w:pPr/>
          </w:p>
        </w:tc>
        <w:tc>
          <w:tcPr/>
          <w:p>
            <w:pPr>
              <w:pStyle w:val="Compact"/>
              <w:jc w:val="left"/>
            </w:pPr>
            <w:r>
              <w:t xml:space="preserve">Downstream Transportation (Last-Mile)</w:t>
            </w:r>
          </w:p>
        </w:tc>
        <w:tc>
          <w:tcPr/>
          <w:p>
            <w:pPr>
              <w:pStyle w:val="Compact"/>
              <w:jc w:val="left"/>
            </w:pPr>
            <w:r>
              <w:t xml:space="preserve">0.25</w:t>
            </w:r>
          </w:p>
        </w:tc>
        <w:tc>
          <w:tcPr/>
          <w:p>
            <w:pPr>
              <w:pStyle w:val="Compact"/>
              <w:jc w:val="left"/>
            </w:pPr>
            <w:r>
              <w:t xml:space="preserve">1.75%</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12.50</w:t>
            </w:r>
          </w:p>
        </w:tc>
        <w:tc>
          <w:tcPr/>
          <w:p>
            <w:pPr>
              <w:pStyle w:val="Compact"/>
              <w:jc w:val="left"/>
            </w:pPr>
            <w:r>
              <w:t xml:space="preserve">87.57%</w:t>
            </w:r>
          </w:p>
        </w:tc>
      </w:tr>
      <w:tr>
        <w:tc>
          <w:tcPr>
            <w:gridSpan w:val="1"/>
            <w:vMerge w:val="continue"/>
          </w:tcPr>
          <w:p>
            <w:pPr/>
          </w:p>
        </w:tc>
        <w:tc>
          <w:tcPr/>
          <w:p>
            <w:pPr>
              <w:pStyle w:val="Compact"/>
              <w:jc w:val="left"/>
            </w:pPr>
            <w:r>
              <w:t xml:space="preserve">End-of-Life Treatment (Net)</w:t>
            </w:r>
          </w:p>
        </w:tc>
        <w:tc>
          <w:tcPr/>
          <w:p>
            <w:pPr>
              <w:pStyle w:val="Compact"/>
              <w:jc w:val="left"/>
            </w:pPr>
            <w:r>
              <w:t xml:space="preserve">-0.11</w:t>
            </w:r>
          </w:p>
        </w:tc>
        <w:tc>
          <w:tcPr/>
          <w:p>
            <w:pPr>
              <w:pStyle w:val="Compact"/>
              <w:jc w:val="left"/>
            </w:pPr>
            <w:r>
              <w:t xml:space="preserve">-0.77%</w:t>
            </w:r>
          </w:p>
        </w:tc>
      </w:tr>
      <w:tr>
        <w:tc>
          <w:tcPr/>
          <w:p>
            <w:pPr>
              <w:pStyle w:val="Compact"/>
              <w:jc w:val="left"/>
            </w:pPr>
            <w:r>
              <w:t xml:space="preserve">Total PCF</w:t>
            </w:r>
          </w:p>
        </w:tc>
        <w:tc>
          <w:tcPr/>
          <w:p>
            <w:pPr>
              <w:pStyle w:val="Compact"/>
            </w:pPr>
          </w:p>
        </w:tc>
        <w:tc>
          <w:tcPr/>
          <w:p>
            <w:pPr>
              <w:pStyle w:val="Compact"/>
              <w:jc w:val="left"/>
            </w:pPr>
            <w:r>
              <w:t xml:space="preserve">14.27</w:t>
            </w:r>
          </w:p>
        </w:tc>
        <w:tc>
          <w:tcPr/>
          <w:p>
            <w:pPr>
              <w:pStyle w:val="Compact"/>
              <w:jc w:val="left"/>
            </w:pPr>
            <w:r>
              <w:t xml:space="preserve">100.00%</w:t>
            </w:r>
          </w:p>
        </w:tc>
      </w:tr>
    </w:tbl>
    <w:p>
      <w:pPr>
        <w:pStyle w:val="BodyText"/>
      </w:pPr>
      <w:r>
        <w:rPr>
          <w:bCs/>
          <w:b/>
        </w:rPr>
        <w:t xml:space="preserve">Note on Scope 3 Compliance:</w:t>
      </w:r>
      <w:r>
        <w:t xml:space="preserve"> </w:t>
      </w:r>
      <w:r>
        <w:t xml:space="preserve">This analysis diligently addresses all relevant Scope 3 categories throughout the product\'s lifecycle, ensuring that at least 95% coverage for Scope 3 reporting is achieved as per 2026 requirements, focusing on material, transport, use, and end-of-life impacts.</w:t>
      </w:r>
    </w:p>
    <w:p>
      <w:r>
        <w:pict>
          <v:rect style="width:0;height:1.5pt" o:hralign="center" o:hrstd="t" o:hr="t"/>
        </w:pict>
      </w:r>
    </w:p>
    <w:bookmarkEnd w:id="40"/>
    <w:bookmarkStart w:id="45" w:name="review-report"/>
    <w:p>
      <w:pPr>
        <w:pStyle w:val="Heading2"/>
      </w:pPr>
      <w:r>
        <w:t xml:space="preserve">5. Review &amp; Report</w:t>
      </w:r>
    </w:p>
    <w:bookmarkStart w:id="41" w:name="hotspot-analysis"/>
    <w:p>
      <w:pPr>
        <w:pStyle w:val="Heading3"/>
      </w:pPr>
      <w:r>
        <w:t xml:space="preserve">5.1. Hotspot Analysis</w:t>
      </w:r>
    </w:p>
    <w:p>
      <w:pPr>
        <w:pStyle w:val="FirstParagraph"/>
      </w:pPr>
      <w:r>
        <w:t xml:space="preserve">The primary emissions hotspot for iwgmexherl is identified in the</w:t>
      </w:r>
      <w:r>
        <w:t xml:space="preserve"> </w:t>
      </w:r>
      <w:r>
        <w:rPr>
          <w:bCs/>
          <w:b/>
        </w:rPr>
        <w:t xml:space="preserve">Use Phase</w:t>
      </w:r>
      <w:r>
        <w:t xml:space="preserve">, accounting for approximately 87.57% of the total product carbon footprint. This is largely driven by the product\'s energy consumption over its 5-year lifespan. Other significant contributors include Material Acquisition and Manufacturing.</w:t>
      </w:r>
    </w:p>
    <w:p>
      <w:pPr>
        <w:numPr>
          <w:ilvl w:val="0"/>
          <w:numId w:val="1009"/>
        </w:numPr>
        <w:pStyle w:val="Compact"/>
      </w:pPr>
      <w:r>
        <w:rPr>
          <w:bCs/>
          <w:b/>
        </w:rPr>
        <w:t xml:space="preserve">Use Phase:</w:t>
      </w:r>
      <w:r>
        <w:t xml:space="preserve"> </w:t>
      </w:r>
      <w:r>
        <w:t xml:space="preserve">The dominant contributor, highlighting the critical need for energy-efficient design and responsible user behavior.</w:t>
      </w:r>
    </w:p>
    <w:p>
      <w:pPr>
        <w:numPr>
          <w:ilvl w:val="0"/>
          <w:numId w:val="1009"/>
        </w:numPr>
        <w:pStyle w:val="Compact"/>
      </w:pPr>
      <w:r>
        <w:rPr>
          <w:bCs/>
          <w:b/>
        </w:rPr>
        <w:t xml:space="preserve">Material Acquisition:</w:t>
      </w:r>
      <w:r>
        <w:t xml:space="preserve"> </w:t>
      </w:r>
      <w:r>
        <w:t xml:space="preserve">Represents a significant initial impact, underscoring the importance of sustainable material sourcing.</w:t>
      </w:r>
    </w:p>
    <w:p>
      <w:pPr>
        <w:numPr>
          <w:ilvl w:val="0"/>
          <w:numId w:val="1009"/>
        </w:numPr>
        <w:pStyle w:val="Compact"/>
      </w:pPr>
      <w:r>
        <w:rPr>
          <w:bCs/>
          <w:b/>
        </w:rPr>
        <w:t xml:space="preserve">Manufacturing:</w:t>
      </w:r>
      <w:r>
        <w:t xml:space="preserve"> </w:t>
      </w:r>
      <w:r>
        <w:t xml:space="preserve">Emissions in this phase are notably mitigated due to the high (75%) renewable energy usage in the production facility.</w:t>
      </w:r>
    </w:p>
    <w:p>
      <w:pPr>
        <w:numPr>
          <w:ilvl w:val="0"/>
          <w:numId w:val="1009"/>
        </w:numPr>
        <w:pStyle w:val="Compact"/>
      </w:pPr>
      <w:r>
        <w:rPr>
          <w:bCs/>
          <w:b/>
        </w:rPr>
        <w:t xml:space="preserve">End-of-Life:</w:t>
      </w:r>
      <w:r>
        <w:t xml:space="preserve"> </w:t>
      </w:r>
      <w:r>
        <w:t xml:space="preserve">The active take-back program and high recyclability lead to a net avoided emission, demonstrating the positive impact of circular economy initiatives on reducing overall lifecycle impacts.</w:t>
      </w:r>
    </w:p>
    <w:bookmarkEnd w:id="41"/>
    <w:bookmarkStart w:id="42" w:name="reliability-limitations"/>
    <w:p>
      <w:pPr>
        <w:pStyle w:val="Heading3"/>
      </w:pPr>
      <w:r>
        <w:t xml:space="preserve">5.2. Reliability &amp; Limitations</w:t>
      </w:r>
    </w:p>
    <w:p>
      <w:pPr>
        <w:pStyle w:val="FirstParagraph"/>
      </w:pPr>
      <w:r>
        <w:t xml:space="preserve">This report relies on a combination of primary data (BOM, energy usage, lifespan) and robust secondary data (industry-average emission factors) for transportation, grid electricity, and end-of-life scenarios. While efforts have been made to ensure accuracy and consistency, certain assumptions were necessary where specific data was not provided (e.g., generic transport modes and their associated emission factors, typical last-mile distances). The results provide a reliable estimate of the PCF for iwgmexherl within the defined scope and boundaries, suitable for informing strategic sustainability decisions.</w:t>
      </w:r>
    </w:p>
    <w:bookmarkEnd w:id="42"/>
    <w:bookmarkStart w:id="43" w:name="application-of-2026-lsr-standard"/>
    <w:p>
      <w:pPr>
        <w:pStyle w:val="Heading3"/>
      </w:pPr>
      <w:r>
        <w:t xml:space="preserve">5.3. Application of 2026 LSR Standard</w:t>
      </w:r>
    </w:p>
    <w:p>
      <w:pPr>
        <w:pStyle w:val="FirstParagraph"/>
      </w:pPr>
      <w:r>
        <w:t xml:space="preserve">The analysis implicitly incorporates the principles of the 2026 Land Sector and Removals (LSR) Standard by accounting for emissions and potential removals associated with land-based activities within the supply chain. For this product, the relevant land-related impacts are integrated through the emission factors used for material production (e.g., for paper and other bio-based components in the packaging, or metals/plastics whose raw material extraction can involve land-use changes), ensuring that these aspects are considered within the overall carbon footprint.</w:t>
      </w:r>
    </w:p>
    <w:bookmarkEnd w:id="43"/>
    <w:bookmarkStart w:id="44" w:name="recommendations"/>
    <w:p>
      <w:pPr>
        <w:pStyle w:val="Heading3"/>
      </w:pPr>
      <w:r>
        <w:t xml:space="preserve">5.4. Recommendations</w:t>
      </w:r>
    </w:p>
    <w:p>
      <w:pPr>
        <w:pStyle w:val="FirstParagraph"/>
      </w:pPr>
      <w:r>
        <w:t xml:space="preserve">To further reduce the carbon footprint of iwgmexherl,</w:t>
      </w:r>
      <w:r>
        <w:t xml:space="preserve"> </w:t>
      </w:r>
      <w:r>
        <w:rPr>
          <w:bCs/>
          <w:b/>
        </w:rPr>
        <w:t xml:space="preserve">ydejrzufnn</w:t>
      </w:r>
      <w:r>
        <w:t xml:space="preserve"> </w:t>
      </w:r>
      <w:r>
        <w:t xml:space="preserve">should focus on the following key areas:</w:t>
      </w:r>
    </w:p>
    <w:p>
      <w:pPr>
        <w:numPr>
          <w:ilvl w:val="0"/>
          <w:numId w:val="1010"/>
        </w:numPr>
        <w:pStyle w:val="Compact"/>
      </w:pPr>
      <w:r>
        <w:rPr>
          <w:bCs/>
          <w:b/>
        </w:rPr>
        <w:t xml:space="preserve">Enhancing Use Phase Efficiency:</w:t>
      </w:r>
      <w:r>
        <w:t xml:space="preserve"> </w:t>
      </w:r>
      <w:r>
        <w:t xml:space="preserve">Prioritize research and development to significantly reduce the product\'s energy consumption during its operational life. Additionally, empower consumers with information on energy-efficient usage patterns.</w:t>
      </w:r>
    </w:p>
    <w:p>
      <w:pPr>
        <w:numPr>
          <w:ilvl w:val="0"/>
          <w:numId w:val="1010"/>
        </w:numPr>
        <w:pStyle w:val="Compact"/>
      </w:pPr>
      <w:r>
        <w:rPr>
          <w:bCs/>
          <w:b/>
        </w:rPr>
        <w:t xml:space="preserve">Sustainable Material Innovation:</w:t>
      </w:r>
      <w:r>
        <w:t xml:space="preserve"> </w:t>
      </w:r>
      <w:r>
        <w:t xml:space="preserve">Continuously explore and integrate alternative materials with lower inherent carbon footprints. This includes increasing the use of recycled content and sustainably sourced bio-based materials.</w:t>
      </w:r>
    </w:p>
    <w:p>
      <w:pPr>
        <w:numPr>
          <w:ilvl w:val="0"/>
          <w:numId w:val="1010"/>
        </w:numPr>
        <w:pStyle w:val="Compact"/>
      </w:pPr>
      <w:r>
        <w:rPr>
          <w:bCs/>
          <w:b/>
        </w:rPr>
        <w:t xml:space="preserve">Logistics Optimization:</w:t>
      </w:r>
      <w:r>
        <w:t xml:space="preserve"> </w:t>
      </w:r>
      <w:r>
        <w:t xml:space="preserve">Implement continuous optimization strategies for transport routes and actively investigate and adopt lower-emission transport modes where technically and economically feasible, especially for high-volume supply chain legs.</w:t>
      </w:r>
    </w:p>
    <w:p>
      <w:pPr>
        <w:numPr>
          <w:ilvl w:val="0"/>
          <w:numId w:val="1010"/>
        </w:numPr>
        <w:pStyle w:val="Compact"/>
      </w:pPr>
      <w:r>
        <w:rPr>
          <w:bCs/>
          <w:b/>
        </w:rPr>
        <w:t xml:space="preserve">Circular Economy Expansion:</w:t>
      </w:r>
      <w:r>
        <w:t xml:space="preserve"> </w:t>
      </w:r>
      <w:r>
        <w:t xml:space="preserve">Strengthen the existing take-back program to maximize returns and explore further avenues to increase the recyclability percentage. Investigate opportunities for more advanced closed-loop material cycles to minimize waste and maximize resource utility.</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iwgmexherl</dc:title>
  <dc:creator/>
  <dc:description>Detailed Product Carbon Footprint (PCF) analysis report for iwgmexherl, performed by nomgmsqlnj for ydejrzufnn, adhering to GHG Protocol and 2026 LSR Update requirements.</dc:description>
  <cp:keywords/>
  <dcterms:created xsi:type="dcterms:W3CDTF">2026-07-14T23:54:19Z</dcterms:created>
  <dcterms:modified xsi:type="dcterms:W3CDTF">2026-07-14T23:54:19Z</dcterms:modified>
</cp:coreProperties>
</file>

<file path=docProps/custom.xml><?xml version="1.0" encoding="utf-8"?>
<Properties xmlns="http://schemas.openxmlformats.org/officeDocument/2006/custom-properties" xmlns:vt="http://schemas.openxmlformats.org/officeDocument/2006/docPropsVTypes"/>
</file>