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ivoepiwwtp</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ivoepiwwtp</w:t>
      </w:r>
    </w:p>
    <w:p>
      <w:pPr>
        <w:pStyle w:val="BodyText"/>
      </w:pPr>
      <w:r>
        <w:rPr>
          <w:bCs/>
          <w:b/>
        </w:rPr>
        <w:t xml:space="preserve">Company Name:</w:t>
      </w:r>
      <w:r>
        <w:t xml:space="preserve"> </w:t>
      </w:r>
      <w:r>
        <w:t xml:space="preserve">mzhqehfupe</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kejiugseii</w:t>
      </w:r>
    </w:p>
    <w:p>
      <w:pPr>
        <w:pStyle w:val="BodyText"/>
      </w:pPr>
      <w:r>
        <w:t xml:space="preserve">Disclaimer: This report is generated based on available data and industry standards, providing an illustrative analysis for product ivoepiwwtp. Actual figures may vary with primary data verification and specific operational details.</w:t>
      </w:r>
    </w:p>
    <w:bookmarkEnd w:id="20"/>
    <w:bookmarkStart w:id="21" w:name="Xc37654beb64ef66896f77c155d8926c4e58bdce"/>
    <w:p>
      <w:pPr>
        <w:pStyle w:val="Heading1"/>
      </w:pPr>
      <w:r>
        <w:t xml:space="preserve">Product Carbon Footprint Report: ivoepiwwtp</w:t>
      </w:r>
    </w:p>
    <w:p>
      <w:pPr>
        <w:pStyle w:val="FirstParagraph"/>
      </w:pPr>
      <w:r>
        <w:rPr>
          <w:bCs/>
          <w:b/>
        </w:rPr>
        <w:t xml:space="preserve">Company:</w:t>
      </w:r>
      <w:r>
        <w:t xml:space="preserve"> </w:t>
      </w:r>
      <w:r>
        <w:t xml:space="preserve">mzhqehfupe</w:t>
      </w:r>
    </w:p>
    <w:p>
      <w:pPr>
        <w:pStyle w:val="BodyText"/>
      </w:pPr>
      <w:r>
        <w:rPr>
          <w:bCs/>
          <w:b/>
        </w:rPr>
        <w:t xml:space="preserve">Senior Sustainability Consultant:</w:t>
      </w:r>
      <w:r>
        <w:t xml:space="preserve"> </w:t>
      </w:r>
      <w:r>
        <w:t xml:space="preserve">kejiugseii</w:t>
      </w:r>
    </w:p>
    <w:p>
      <w:pPr>
        <w:pStyle w:val="BodyText"/>
      </w:pPr>
      <w:r>
        <w:rPr>
          <w:bCs/>
          <w:b/>
        </w:rPr>
        <w:t xml:space="preserve">Generated Date:</w:t>
      </w:r>
      <w:r>
        <w:t xml:space="preserve"> </w:t>
      </w:r>
      <w:r>
        <w:t xml:space="preserve">May 25,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ivoepiwwtp, manufactured by mzhqehfupe, conducted by Senior Sustainability Consultant kejiugseii. The analysis adheres to the GHG Protocol standards, including considerations for the upcoming 2026 Land Sector and Removals (LSR) Standard updates and strict Scope 3 compliance requirements. The total cradle-to-grave PCF for one functional unit of ivoepiwwtp is calculated to be</w:t>
      </w:r>
      <w:r>
        <w:t xml:space="preserve"> </w:t>
      </w:r>
      <w:r>
        <w:rPr>
          <w:bCs/>
          <w:b/>
        </w:rPr>
        <w:t xml:space="preserve">51.81 kgCO2e</w:t>
      </w:r>
      <w:r>
        <w:t xml:space="preserve">. Key emission hotspots have been identified across the product lifecycle, with the use phase and material acquisition contributing significantly to the overall footprint.</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calculating the Product Carbon Footprint (PCF) for ivoepiwwtp involves defining the boundaries and parameters of the analysis in accordance with the GHG Protocol.</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ivoepiwwtp</w:t>
      </w:r>
      <w:r>
        <w:t xml:space="preserve">. This represents the quantified service or utility provided by the product over its lifetime.</w:t>
      </w:r>
    </w:p>
    <w:p>
      <w:pPr>
        <w:numPr>
          <w:ilvl w:val="0"/>
          <w:numId w:val="1001"/>
        </w:numPr>
        <w:pStyle w:val="Compact"/>
      </w:pPr>
      <w:r>
        <w:rPr>
          <w:bCs/>
          <w:b/>
        </w:rPr>
        <w:t xml:space="preserve">System Boundary:</w:t>
      </w:r>
      <w:r>
        <w:t xml:space="preserve"> </w:t>
      </w:r>
      <w:r>
        <w:t xml:space="preserve">A</w:t>
      </w:r>
      <w:r>
        <w:t xml:space="preserve"> </w:t>
      </w:r>
      <w:r>
        <w:rPr>
          <w:bCs/>
          <w:b/>
        </w:rPr>
        <w:t xml:space="preserve">"factory_gate"</w:t>
      </w:r>
      <w:r>
        <w:t xml:space="preserve"> </w:t>
      </w:r>
      <w:r>
        <w:t xml:space="preserve">system boundary has been applied for the manufacturing phase, extending to include upstream (raw material extraction, processing, inbound logistics) and downstream (outbound logistics, use phase, end-of-life) impacts. This is a cradle-to-grave assessment.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w:t>
      </w:r>
      <w:r>
        <w:t xml:space="preserve"> </w:t>
      </w:r>
      <w:r>
        <w:t xml:space="preserve">for upstream components and downstream markets.</w:t>
      </w:r>
    </w:p>
    <w:p>
      <w:pPr>
        <w:numPr>
          <w:ilvl w:val="0"/>
          <w:numId w:val="1001"/>
        </w:numPr>
        <w:pStyle w:val="Compact"/>
      </w:pPr>
      <w:r>
        <w:rPr>
          <w:bCs/>
          <w:b/>
        </w:rPr>
        <w:t xml:space="preserve">Allocation:</w:t>
      </w:r>
      <w:r>
        <w:t xml:space="preserve"> </w:t>
      </w:r>
      <w:r>
        <w:t xml:space="preserve">Emissions are allocated directly to the ivoepiwwtp product. For shared processes (e.g., transport of multiple products), mass-based allocation has been applied where appropriate, consistent with GHG Protocol guidance.</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ivoepiwwtp has been mapped into distinct stages to systematically identify and quantify all relevant inputs and outputs. This includes all stages from raw material acquisition to the end-of-life treatment of the product.</w:t>
      </w:r>
    </w:p>
    <w:bookmarkStart w:id="24" w:name="X99534d3491f1be0f49b57acaf828e881b6d5c21"/>
    <w:p>
      <w:pPr>
        <w:pStyle w:val="Heading3"/>
      </w:pPr>
      <w:r>
        <w:t xml:space="preserve">2.1. Material Acquisition &amp; Processing (Upstream - Scope 3, Category 1)</w:t>
      </w:r>
    </w:p>
    <w:p>
      <w:pPr>
        <w:pStyle w:val="FirstParagraph"/>
      </w:pPr>
      <w:r>
        <w:t xml:space="preserve">This stage includes the extraction, processing, and refining of all raw materials used in ivoepiwwtp. The analysis utilizes the provided Detailed Bill of Materials (BOM) to ensure high accuracy. It is important to note that the provided BOM, represented by the string "hihzudtl", has been interpreted as illustrative data for this report, based on the specified format: ID, Description, Category, Process, Qty, Unit, Emission Factor, Total Carbon. For a real-world assessment, this would be collected directly from suppliers.</w:t>
      </w:r>
    </w:p>
    <w:p>
      <w:pPr>
        <w:pStyle w:val="BodyText"/>
      </w:pPr>
      <w:r>
        <w:rPr>
          <w:bCs/>
          <w:b/>
        </w:rPr>
        <w:t xml:space="preserve">Illustrative Detailed Bill of Materials (BOM) for ivoepiwwtp:</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8.0</w:t>
            </w:r>
          </w:p>
        </w:tc>
        <w:tc>
          <w:tcPr/>
          <w:p>
            <w:pPr>
              <w:pStyle w:val="Compact"/>
              <w:jc w:val="left"/>
            </w:pPr>
            <w:r>
              <w:t xml:space="preserve">6.4</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Integrated Circuits (ICs)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Chemicals/Energy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5</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left"/>
            </w:pPr>
            <w:r>
              <w:rPr>
                <w:bCs/>
                <w:b/>
              </w:rPr>
              <w:t xml:space="preserve">Total Material Carbon from BOM</w:t>
            </w:r>
          </w:p>
        </w:tc>
        <w:tc>
          <w:tcPr/>
          <w:p>
            <w:pPr>
              <w:pStyle w:val="Compact"/>
              <w:jc w:val="left"/>
            </w:pPr>
            <w:r>
              <w:rPr>
                <w:bCs/>
                <w:b/>
              </w:rPr>
              <w:t xml:space="preserve">15.60 kgCO2e</w:t>
            </w:r>
          </w:p>
        </w:tc>
      </w:tr>
      <w:tr>
        <w:tc>
          <w:tcPr>
            <w:gridSpan w:val="7"/>
          </w:tcPr>
          <w:p>
            <w:pPr>
              <w:pStyle w:val="Compact"/>
              <w:jc w:val="left"/>
            </w:pPr>
            <w:r>
              <w:rPr>
                <w:bCs/>
                <w:b/>
              </w:rPr>
              <w:t xml:space="preserve">Total Product Weight (excluding packaging)</w:t>
            </w:r>
          </w:p>
        </w:tc>
        <w:tc>
          <w:tcPr/>
          <w:p>
            <w:pPr>
              <w:pStyle w:val="Compact"/>
              <w:jc w:val="left"/>
            </w:pPr>
            <w:r>
              <w:rPr>
                <w:bCs/>
                <w:b/>
              </w:rPr>
              <w:t xml:space="preserve">1.35 kg</w:t>
            </w:r>
          </w:p>
        </w:tc>
      </w:tr>
      <w:tr>
        <w:tc>
          <w:tcPr>
            <w:gridSpan w:val="7"/>
          </w:tcPr>
          <w:p>
            <w:pPr>
              <w:pStyle w:val="Compact"/>
              <w:jc w:val="left"/>
            </w:pPr>
            <w:r>
              <w:rPr>
                <w:bCs/>
                <w:b/>
              </w:rPr>
              <w:t xml:space="preserve">Total Shipped Weight (Product + Packaging)</w:t>
            </w:r>
          </w:p>
        </w:tc>
        <w:tc>
          <w:tcPr/>
          <w:p>
            <w:pPr>
              <w:pStyle w:val="Compact"/>
              <w:jc w:val="left"/>
            </w:pPr>
            <w:r>
              <w:rPr>
                <w:bCs/>
                <w:b/>
              </w:rPr>
              <w:t xml:space="preserve">1.45 kg</w:t>
            </w:r>
          </w:p>
        </w:tc>
      </w:tr>
    </w:tbl>
    <w:bookmarkEnd w:id="24"/>
    <w:bookmarkStart w:id="25" w:name="Xa59f47bc8143bcbfc5e9d63996c6e3a68b3fde3"/>
    <w:p>
      <w:pPr>
        <w:pStyle w:val="Heading3"/>
      </w:pPr>
      <w:r>
        <w:t xml:space="preserve">2.2. Manufacturing (Core Production - Scope 1 &amp; 2)</w:t>
      </w:r>
    </w:p>
    <w:p>
      <w:pPr>
        <w:pStyle w:val="FirstParagraph"/>
      </w:pPr>
      <w:r>
        <w:t xml:space="preserve">This stage covers the energy consumption during the assembly and manufacturing processes in the final production country (China).</w:t>
      </w:r>
    </w:p>
    <w:p>
      <w:pPr>
        <w:numPr>
          <w:ilvl w:val="0"/>
          <w:numId w:val="1002"/>
        </w:numPr>
        <w:pStyle w:val="Compact"/>
      </w:pPr>
      <w:r>
        <w:rPr>
          <w:bCs/>
          <w:b/>
        </w:rPr>
        <w:t xml:space="preserve">Energy Intensity (kWh/unit):</w:t>
      </w:r>
      <w:r>
        <w:t xml:space="preserve"> </w:t>
      </w:r>
      <w:r>
        <w:t xml:space="preserve">20 kWh/unit</w:t>
      </w:r>
    </w:p>
    <w:p>
      <w:pPr>
        <w:numPr>
          <w:ilvl w:val="0"/>
          <w:numId w:val="1002"/>
        </w:numPr>
        <w:pStyle w:val="Compact"/>
      </w:pPr>
      <w:r>
        <w:rPr>
          <w:bCs/>
          <w:b/>
        </w:rPr>
        <w:t xml:space="preserve">Renewable Energy Usage:</w:t>
      </w:r>
      <w:r>
        <w:t xml:space="preserve"> </w:t>
      </w:r>
      <w:r>
        <w:t xml:space="preserve">60% of electricity purchased for manufacturing is from renewable sources.</w:t>
      </w:r>
    </w:p>
    <w:bookmarkEnd w:id="25"/>
    <w:bookmarkStart w:id="26" w:name="X5d8ae099cf06c4cebff9013cfeb305eb69800fe"/>
    <w:p>
      <w:pPr>
        <w:pStyle w:val="Heading3"/>
      </w:pPr>
      <w:r>
        <w:t xml:space="preserve">2.3. Transport (Upstream &amp; Downstream Logistics - Scope 3, Category 4)</w:t>
      </w:r>
    </w:p>
    <w:p>
      <w:pPr>
        <w:pStyle w:val="FirstParagraph"/>
      </w:pPr>
      <w:r>
        <w:t xml:space="preserve">Logistics for both inbound materials and outbound finished products are considered. The provided specific logistics data is incorporated:</w:t>
      </w:r>
    </w:p>
    <w:p>
      <w:pPr>
        <w:numPr>
          <w:ilvl w:val="0"/>
          <w:numId w:val="1003"/>
        </w:numPr>
        <w:pStyle w:val="Compact"/>
      </w:pPr>
      <w:r>
        <w:rPr>
          <w:bCs/>
          <w:b/>
        </w:rPr>
        <w:t xml:space="preserve">Transport Modes:</w:t>
      </w:r>
      <w:r>
        <w:t xml:space="preserve"> </w:t>
      </w:r>
      <w:r>
        <w:t xml:space="preserve">Intercontinental transport by Sea freight (container ship), intracontinental transport by Road freight (HGV &gt; 16t), and Last-Mile delivery by Van.</w:t>
      </w:r>
    </w:p>
    <w:p>
      <w:pPr>
        <w:numPr>
          <w:ilvl w:val="0"/>
          <w:numId w:val="1003"/>
        </w:numPr>
        <w:pStyle w:val="Compact"/>
      </w:pPr>
      <w:r>
        <w:rPr>
          <w:bCs/>
          <w:b/>
        </w:rPr>
        <w:t xml:space="preserve">Transport Distance (Illustrative - interpreting gvzhyrxrxt):</w:t>
      </w:r>
    </w:p>
    <w:p>
      <w:pPr>
        <w:numPr>
          <w:ilvl w:val="1"/>
          <w:numId w:val="1004"/>
        </w:numPr>
        <w:pStyle w:val="Compact"/>
      </w:pPr>
      <w:r>
        <w:t xml:space="preserve">Inbound (Components from EU to China): 12,000 km (Sea) + 500 km (Road) = 12,500 km</w:t>
      </w:r>
    </w:p>
    <w:p>
      <w:pPr>
        <w:numPr>
          <w:ilvl w:val="1"/>
          <w:numId w:val="1004"/>
        </w:numPr>
        <w:pStyle w:val="Compact"/>
      </w:pPr>
      <w:r>
        <w:t xml:space="preserve">Outbound (Product China to EU distribution center): 12,000 km (Sea) + 1,000 km (Road) = 13,000 km</w:t>
      </w:r>
    </w:p>
    <w:p>
      <w:pPr>
        <w:numPr>
          <w:ilvl w:val="1"/>
          <w:numId w:val="1004"/>
        </w:numPr>
        <w:pStyle w:val="Compact"/>
      </w:pPr>
      <w:r>
        <w:t xml:space="preserve">Last-Mile Delivery: 50 km (Van)</w:t>
      </w:r>
    </w:p>
    <w:p>
      <w:pPr>
        <w:numPr>
          <w:ilvl w:val="0"/>
          <w:numId w:val="1003"/>
        </w:numPr>
        <w:pStyle w:val="Compact"/>
      </w:pPr>
      <w:r>
        <w:rPr>
          <w:bCs/>
          <w:b/>
        </w:rPr>
        <w:t xml:space="preserve">Last-Mile Delivery Channel:</w:t>
      </w:r>
      <w:r>
        <w:t xml:space="preserve"> </w:t>
      </w:r>
      <w:r>
        <w:t xml:space="preserve">Van Delivery</w:t>
      </w:r>
    </w:p>
    <w:bookmarkEnd w:id="26"/>
    <w:bookmarkStart w:id="27" w:name="X01fffecb4d51cf9638741502492363d57dc681a"/>
    <w:p>
      <w:pPr>
        <w:pStyle w:val="Heading3"/>
      </w:pPr>
      <w:r>
        <w:t xml:space="preserve">2.4. Use Phase (Downstream - Scope 3, Category 11)</w:t>
      </w:r>
    </w:p>
    <w:p>
      <w:pPr>
        <w:pStyle w:val="FirstParagraph"/>
      </w:pPr>
      <w:r>
        <w:t xml:space="preserve">The energy consumption during the product\'s operational life by the end-user is included.</w:t>
      </w:r>
    </w:p>
    <w:p>
      <w:pPr>
        <w:numPr>
          <w:ilvl w:val="0"/>
          <w:numId w:val="1005"/>
        </w:numPr>
        <w:pStyle w:val="Compact"/>
      </w:pPr>
      <w:r>
        <w:rPr>
          <w:bCs/>
          <w:b/>
        </w:rPr>
        <w:t xml:space="preserve">Product Lifespan (Illustrative - interpreting pklmftkunl):</w:t>
      </w:r>
      <w:r>
        <w:t xml:space="preserve"> </w:t>
      </w:r>
      <w:r>
        <w:t xml:space="preserve">4 years</w:t>
      </w:r>
    </w:p>
    <w:p>
      <w:pPr>
        <w:numPr>
          <w:ilvl w:val="0"/>
          <w:numId w:val="1005"/>
        </w:numPr>
        <w:pStyle w:val="Compact"/>
      </w:pPr>
      <w:r>
        <w:rPr>
          <w:bCs/>
          <w:b/>
        </w:rPr>
        <w:t xml:space="preserve">Energy Consumption in Use (Illustrative - interpreting elslrmhgpy):</w:t>
      </w:r>
      <w:r>
        <w:t xml:space="preserve"> </w:t>
      </w:r>
      <w:r>
        <w:t xml:space="preserve">18 kWh/year</w:t>
      </w:r>
    </w:p>
    <w:bookmarkEnd w:id="27"/>
    <w:bookmarkStart w:id="28" w:name="X7f89d00135b2cb99d8b0d40c8751bd2d45ee8b9"/>
    <w:p>
      <w:pPr>
        <w:pStyle w:val="Heading3"/>
      </w:pPr>
      <w:r>
        <w:t xml:space="preserve">2.5. End-of-Life (EoL) (Downstream - Scope 3, Category 12)</w:t>
      </w:r>
    </w:p>
    <w:p>
      <w:pPr>
        <w:pStyle w:val="FirstParagraph"/>
      </w:pPr>
      <w:r>
        <w:t xml:space="preserve">This stage accounts for the treatment of the product after its useful life, including recycling and disposal.</w:t>
      </w:r>
    </w:p>
    <w:p>
      <w:pPr>
        <w:numPr>
          <w:ilvl w:val="0"/>
          <w:numId w:val="1006"/>
        </w:numPr>
        <w:pStyle w:val="Compact"/>
      </w:pPr>
      <w:r>
        <w:rPr>
          <w:bCs/>
          <w:b/>
        </w:rPr>
        <w:t xml:space="preserve">Recyclability Percentage (Illustrative - interpreting luohqkxzqs):</w:t>
      </w:r>
      <w:r>
        <w:t xml:space="preserve"> </w:t>
      </w:r>
      <w:r>
        <w:t xml:space="preserve">70%</w:t>
      </w:r>
    </w:p>
    <w:p>
      <w:pPr>
        <w:numPr>
          <w:ilvl w:val="0"/>
          <w:numId w:val="1006"/>
        </w:numPr>
        <w:pStyle w:val="Compact"/>
      </w:pPr>
      <w:r>
        <w:rPr>
          <w:bCs/>
          <w:b/>
        </w:rPr>
        <w:t xml:space="preserve">Circular/Take-back Programs (Illustrative - interpreting eujgpewjul):</w:t>
      </w:r>
      <w:r>
        <w:t xml:space="preserve"> </w:t>
      </w:r>
      <w:r>
        <w:t xml:space="preserve">Company-sponsored take-back scheme for electronics in key European markets, facilitating recycling.</w:t>
      </w:r>
    </w:p>
    <w:p>
      <w:r>
        <w:pict>
          <v:rect style="width:0;height:1.5pt" o:hralign="center" o:hrstd="t" o:hr="t"/>
        </w:pict>
      </w:r>
    </w:p>
    <w:bookmarkEnd w:id="28"/>
    <w:bookmarkEnd w:id="29"/>
    <w:bookmarkStart w:id="32" w:name="Xb57f50a89bf1f3f1837369be949d9d60d6c1272"/>
    <w:p>
      <w:pPr>
        <w:pStyle w:val="Heading2"/>
      </w:pPr>
      <w:r>
        <w:t xml:space="preserve">3. Collect Data (Primary/Secondary Data Points)</w:t>
      </w:r>
    </w:p>
    <w:p>
      <w:pPr>
        <w:pStyle w:val="FirstParagraph"/>
      </w:pPr>
      <w:r>
        <w:t xml:space="preserve">For this analysis, a blend of illustrative primary-like data (as derived from the prompt\'s specific parameters) and industry-standard secondary emission factors has been used. In a fully verified PCF, primary data would be collected directly from suppliers, manufacturers, and logistics providers.</w:t>
      </w:r>
    </w:p>
    <w:bookmarkStart w:id="30" w:name="X95393000cad466c6f78e70693a9a46b59f7a0ba"/>
    <w:p>
      <w:pPr>
        <w:pStyle w:val="Heading3"/>
      </w:pPr>
      <w:r>
        <w:t xml:space="preserve">3.1. Material and Energy Inputs (Detailed Breakdown)</w:t>
      </w:r>
    </w:p>
    <w:p>
      <w:pPr>
        <w:pStyle w:val="FirstParagraph"/>
      </w:pPr>
      <w:r>
        <w:t xml:space="preserve">The material inputs are detailed in the BOM table in Section 2.1. Energy inputs for the manufacturing phase are 20 kWh/unit. The origin of electricity for manufacturing is China, while the use phase assumes a European energy mix due to the supply chain focus.</w:t>
      </w:r>
    </w:p>
    <w:bookmarkEnd w:id="30"/>
    <w:bookmarkStart w:id="31" w:name="illustrative-emission-factors-used"/>
    <w:p>
      <w:pPr>
        <w:pStyle w:val="Heading3"/>
      </w:pPr>
      <w:r>
        <w:t xml:space="preserve">3.2. Illustrative Emission Factors Used</w:t>
      </w:r>
    </w:p>
    <w:p>
      <w:pPr>
        <w:pStyle w:val="FirstParagraph"/>
      </w:pPr>
      <w:r>
        <w:t xml:space="preserve">The following illustrative emission factors, informed by industry standards like Ecoinvent and DEFRA, have been applied for the calculations. For a real PCF, these would be sourced from specific, up-to-date databases and tailored to geographic and technological specifics.</w:t>
      </w:r>
    </w:p>
    <w:p>
      <w:pPr>
        <w:numPr>
          <w:ilvl w:val="0"/>
          <w:numId w:val="1007"/>
        </w:numPr>
        <w:pStyle w:val="Compact"/>
      </w:pPr>
      <w:r>
        <w:t xml:space="preserve">Electricity (China grid average): 0.58 kgCO2e/kWh</w:t>
      </w:r>
    </w:p>
    <w:p>
      <w:pPr>
        <w:numPr>
          <w:ilvl w:val="0"/>
          <w:numId w:val="1007"/>
        </w:numPr>
        <w:pStyle w:val="Compact"/>
      </w:pPr>
      <w:r>
        <w:t xml:space="preserve">Electricity (EU grid average, for use phase): 0.28 kgCO2e/kWh</w:t>
      </w:r>
    </w:p>
    <w:p>
      <w:pPr>
        <w:numPr>
          <w:ilvl w:val="0"/>
          <w:numId w:val="1007"/>
        </w:numPr>
        <w:pStyle w:val="Compact"/>
      </w:pPr>
      <w:r>
        <w:t xml:space="preserve">Sea freight (container ship): 0.016 kgCO2e/tonne-km</w:t>
      </w:r>
    </w:p>
    <w:p>
      <w:pPr>
        <w:numPr>
          <w:ilvl w:val="0"/>
          <w:numId w:val="1007"/>
        </w:numPr>
        <w:pStyle w:val="Compact"/>
      </w:pPr>
      <w:r>
        <w:t xml:space="preserve">Road freight (HGV &gt; 16t): 0.07 kgCO2e/tonne-km</w:t>
      </w:r>
    </w:p>
    <w:p>
      <w:pPr>
        <w:numPr>
          <w:ilvl w:val="0"/>
          <w:numId w:val="1007"/>
        </w:numPr>
        <w:pStyle w:val="Compact"/>
      </w:pPr>
      <w:r>
        <w:t xml:space="preserve">Van delivery: 0.23 kgCO2e/km (per vehicle-km)</w:t>
      </w:r>
    </w:p>
    <w:p>
      <w:pPr>
        <w:numPr>
          <w:ilvl w:val="0"/>
          <w:numId w:val="1007"/>
        </w:numPr>
        <w:pStyle w:val="Compact"/>
      </w:pPr>
      <w:r>
        <w:t xml:space="preserve">Waste to Landfill (mixed product waste): 0.35 kgCO2e/kg</w:t>
      </w:r>
    </w:p>
    <w:p>
      <w:pPr>
        <w:numPr>
          <w:ilvl w:val="0"/>
          <w:numId w:val="1007"/>
        </w:numPr>
        <w:pStyle w:val="Compact"/>
      </w:pPr>
      <w:r>
        <w:t xml:space="preserve">Recycling credit (average for metals/plastics, simplified): -1.0 kgCO2e/kg (representing avoided emissions)</w:t>
      </w:r>
    </w:p>
    <w:p>
      <w:pPr>
        <w:pStyle w:val="FirstParagraph"/>
      </w:pPr>
      <w:r>
        <w:rPr>
          <w:bCs/>
          <w:b/>
        </w:rPr>
        <w:t xml:space="preserve">Note on Data Quality:</w:t>
      </w:r>
      <w:r>
        <w:t xml:space="preserve"> </w:t>
      </w:r>
      <w:r>
        <w:t xml:space="preserve">As per the proposed 2026 GHG Protocol Scope 3 revisions, future reports will require mandatory data disaggregation by source type (primary vs. secondary) to enhance transparency and comparability. This report uses illustrative secondary data where specific primary data was not provided.</w:t>
      </w:r>
    </w:p>
    <w:p>
      <w:r>
        <w:pict>
          <v:rect style="width:0;height:1.5pt" o:hralign="center" o:hrstd="t" o:hr="t"/>
        </w:pict>
      </w:r>
    </w:p>
    <w:bookmarkEnd w:id="31"/>
    <w:bookmarkEnd w:id="32"/>
    <w:bookmarkStart w:id="41"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definitions.</w:t>
      </w:r>
    </w:p>
    <w:bookmarkStart w:id="33" w:name="scope-1-emissions-direct-emissions"/>
    <w:p>
      <w:pPr>
        <w:pStyle w:val="Heading3"/>
      </w:pPr>
      <w:r>
        <w:t xml:space="preserve">4.1. Scope 1 Emissions (Direct Emissions)</w:t>
      </w:r>
    </w:p>
    <w:p>
      <w:pPr>
        <w:pStyle w:val="FirstParagraph"/>
      </w:pPr>
      <w:r>
        <w:t xml:space="preserve">Scope 1 emissions cover direct GHG emissions from sources owned or controlled by mzhqehfupe. For the manufacturing of ivoepiwwtp, it is assumed that direct operational emissions from on-site fuel combustion or processes within the factory gate are negligible, or implicitly covered by the upstream emission factors of purchased materials and energy. Therefore, **Scope 1 emissions = 0.0 kgCO2e**.</w:t>
      </w:r>
    </w:p>
    <w:bookmarkEnd w:id="33"/>
    <w:bookmarkStart w:id="34" w:name="scope-2-emissions-purchased-energy"/>
    <w:p>
      <w:pPr>
        <w:pStyle w:val="Heading3"/>
      </w:pPr>
      <w:r>
        <w:t xml:space="preserve">4.2. Scope 2 Emissions (Purchased Energy)</w:t>
      </w:r>
    </w:p>
    <w:p>
      <w:pPr>
        <w:pStyle w:val="FirstParagraph"/>
      </w:pPr>
      <w:r>
        <w:t xml:space="preserve">Scope 2 emissions account for indirect GHG emissions from the generation of purchased electricity for the manufacturing facility in China.</w:t>
      </w:r>
    </w:p>
    <w:p>
      <w:pPr>
        <w:numPr>
          <w:ilvl w:val="0"/>
          <w:numId w:val="1008"/>
        </w:numPr>
        <w:pStyle w:val="Compact"/>
      </w:pPr>
      <w:r>
        <w:t xml:space="preserve">Energy Intensity for Production: 20 kWh/unit</w:t>
      </w:r>
    </w:p>
    <w:p>
      <w:pPr>
        <w:numPr>
          <w:ilvl w:val="0"/>
          <w:numId w:val="1008"/>
        </w:numPr>
        <w:pStyle w:val="Compact"/>
      </w:pPr>
      <w:r>
        <w:t xml:space="preserve">Renewable Energy Usage: 60%</w:t>
      </w:r>
    </w:p>
    <w:p>
      <w:pPr>
        <w:numPr>
          <w:ilvl w:val="0"/>
          <w:numId w:val="1008"/>
        </w:numPr>
        <w:pStyle w:val="Compact"/>
      </w:pPr>
      <w:r>
        <w:t xml:space="preserve">Non-renewable electricity consumption: 20 kWh/unit * (1 - 0.60) = 8 kWh/unit</w:t>
      </w:r>
    </w:p>
    <w:p>
      <w:pPr>
        <w:numPr>
          <w:ilvl w:val="0"/>
          <w:numId w:val="1008"/>
        </w:numPr>
        <w:pStyle w:val="Compact"/>
      </w:pPr>
      <w:r>
        <w:t xml:space="preserve">China Electricity Grid Emission Factor: 0.58 kgCO2e/kWh</w:t>
      </w:r>
    </w:p>
    <w:p>
      <w:pPr>
        <w:numPr>
          <w:ilvl w:val="0"/>
          <w:numId w:val="1008"/>
        </w:numPr>
        <w:pStyle w:val="Compact"/>
      </w:pPr>
      <w:r>
        <w:rPr>
          <w:bCs/>
          <w:b/>
        </w:rPr>
        <w:t xml:space="preserve">Calculated Scope 2 Emissions:</w:t>
      </w:r>
      <w:r>
        <w:t xml:space="preserve"> </w:t>
      </w:r>
      <w:r>
        <w:t xml:space="preserve">8 kWh/unit * 0.58 kgCO2e/kWh =</w:t>
      </w:r>
      <w:r>
        <w:t xml:space="preserve"> </w:t>
      </w:r>
      <w:r>
        <w:rPr>
          <w:bCs/>
          <w:b/>
        </w:rPr>
        <w:t xml:space="preserve">4.64 kgCO2e</w:t>
      </w:r>
    </w:p>
    <w:bookmarkEnd w:id="34"/>
    <w:bookmarkStart w:id="39" w:name="scope-3-emissions-value-chain-emissions"/>
    <w:p>
      <w:pPr>
        <w:pStyle w:val="Heading3"/>
      </w:pPr>
      <w:r>
        <w:t xml:space="preserve">4.3. Scope 3 Emissions (Value Chain Emissions)</w:t>
      </w:r>
    </w:p>
    <w:p>
      <w:pPr>
        <w:pStyle w:val="FirstParagraph"/>
      </w:pPr>
      <w:r>
        <w:t xml:space="preserve">Scope 3 emissions are all other indirect emissions occurring in the value chain, both upstream (e.g., purchased goods, upstream transport) and downstream (e.g., use of sold products, end-of-life treatment). As per the 2026 requirements, this report aims for at least 95% coverage of relevant Scope 3 emissions.</w:t>
      </w:r>
    </w:p>
    <w:bookmarkStart w:id="35" w:name="Xab9729a0caae076ca89f2f71668734f92723cf2"/>
    <w:p>
      <w:pPr>
        <w:pStyle w:val="Heading4"/>
      </w:pPr>
      <w:r>
        <w:t xml:space="preserve">4.3.1. Category 1: Purchased Goods and Services (Materials)</w:t>
      </w:r>
    </w:p>
    <w:p>
      <w:pPr>
        <w:pStyle w:val="FirstParagraph"/>
      </w:pPr>
      <w:r>
        <w:t xml:space="preserve">Emissions from the extraction, production, and processing of raw materials for ivoepiwwtp.</w:t>
      </w:r>
    </w:p>
    <w:p>
      <w:pPr>
        <w:numPr>
          <w:ilvl w:val="0"/>
          <w:numId w:val="1009"/>
        </w:numPr>
        <w:pStyle w:val="Compact"/>
      </w:pPr>
      <w:r>
        <w:t xml:space="preserve">Total Carbon from Illustrative BOM:</w:t>
      </w:r>
      <w:r>
        <w:t xml:space="preserve"> </w:t>
      </w:r>
      <w:r>
        <w:rPr>
          <w:bCs/>
          <w:b/>
        </w:rPr>
        <w:t xml:space="preserve">15.60 kgCO2e</w:t>
      </w:r>
    </w:p>
    <w:bookmarkEnd w:id="35"/>
    <w:bookmarkStart w:id="36" w:name="Xaa969e343a7577cc2b615509976030d42d2a4da"/>
    <w:p>
      <w:pPr>
        <w:pStyle w:val="Heading4"/>
      </w:pPr>
      <w:r>
        <w:t xml:space="preserve">4.3.2. Category 4: Upstream and Downstream Transportation and Distribution</w:t>
      </w:r>
    </w:p>
    <w:p>
      <w:pPr>
        <w:pStyle w:val="FirstParagraph"/>
      </w:pPr>
      <w:r>
        <w:t xml:space="preserve">Emissions from the transportation of purchased goods and services, as well as the transportation of sold products.</w:t>
      </w:r>
    </w:p>
    <w:p>
      <w:pPr>
        <w:numPr>
          <w:ilvl w:val="0"/>
          <w:numId w:val="1010"/>
        </w:numPr>
        <w:pStyle w:val="Compact"/>
      </w:pPr>
      <w:r>
        <w:t xml:space="preserve">Total Shipped Weight (Product + Packaging): 1.45 kg = 0.00145 tonnes</w:t>
      </w:r>
    </w:p>
    <w:p>
      <w:pPr>
        <w:numPr>
          <w:ilvl w:val="0"/>
          <w:numId w:val="1010"/>
        </w:numPr>
        <w:pStyle w:val="Compact"/>
      </w:pPr>
      <w:r>
        <w:rPr>
          <w:bCs/>
          <w:b/>
        </w:rPr>
        <w:t xml:space="preserve">Inbound Logistics (Components from EU to China):</w:t>
      </w:r>
    </w:p>
    <w:p>
      <w:pPr>
        <w:numPr>
          <w:ilvl w:val="1"/>
          <w:numId w:val="1011"/>
        </w:numPr>
        <w:pStyle w:val="Compact"/>
      </w:pPr>
      <w:r>
        <w:t xml:space="preserve">Sea freight (12,000 km): 0.00145 t * 12,000 km * 0.016 kgCO2e/tkm = 0.2784 kgCO2e</w:t>
      </w:r>
    </w:p>
    <w:p>
      <w:pPr>
        <w:numPr>
          <w:ilvl w:val="1"/>
          <w:numId w:val="1011"/>
        </w:numPr>
        <w:pStyle w:val="Compact"/>
      </w:pPr>
      <w:r>
        <w:t xml:space="preserve">Road freight (500 km): 0.00145 t * 500 km * 0.07 kgCO2e/tkm = 0.05075 kgCO2e</w:t>
      </w:r>
    </w:p>
    <w:p>
      <w:pPr>
        <w:numPr>
          <w:ilvl w:val="1"/>
          <w:numId w:val="1011"/>
        </w:numPr>
        <w:pStyle w:val="Compact"/>
      </w:pPr>
      <w:r>
        <w:t xml:space="preserve">Subtotal Inbound: 0.32915 kgCO2e</w:t>
      </w:r>
    </w:p>
    <w:p>
      <w:pPr>
        <w:numPr>
          <w:ilvl w:val="0"/>
          <w:numId w:val="1010"/>
        </w:numPr>
        <w:pStyle w:val="Compact"/>
      </w:pPr>
      <w:r>
        <w:rPr>
          <w:bCs/>
          <w:b/>
        </w:rPr>
        <w:t xml:space="preserve">Outbound Logistics (Product China to EU Distribution Center):</w:t>
      </w:r>
    </w:p>
    <w:p>
      <w:pPr>
        <w:numPr>
          <w:ilvl w:val="1"/>
          <w:numId w:val="1012"/>
        </w:numPr>
        <w:pStyle w:val="Compact"/>
      </w:pPr>
      <w:r>
        <w:t xml:space="preserve">Sea freight (12,000 km): 0.00145 t * 12,000 km * 0.016 kgCO2e/tkm = 0.2784 kgCO2e</w:t>
      </w:r>
    </w:p>
    <w:p>
      <w:pPr>
        <w:numPr>
          <w:ilvl w:val="1"/>
          <w:numId w:val="1012"/>
        </w:numPr>
        <w:pStyle w:val="Compact"/>
      </w:pPr>
      <w:r>
        <w:t xml:space="preserve">Road freight (1,000 km): 0.00145 t * 1,000 km * 0.07 kgCO2e/tkm = 0.1015 kgCO2e</w:t>
      </w:r>
    </w:p>
    <w:p>
      <w:pPr>
        <w:numPr>
          <w:ilvl w:val="1"/>
          <w:numId w:val="1012"/>
        </w:numPr>
        <w:pStyle w:val="Compact"/>
      </w:pPr>
      <w:r>
        <w:t xml:space="preserve">Subtotal Outbound (pre-last mile): 0.3799 kgCO2e</w:t>
      </w:r>
    </w:p>
    <w:p>
      <w:pPr>
        <w:numPr>
          <w:ilvl w:val="0"/>
          <w:numId w:val="1010"/>
        </w:numPr>
        <w:pStyle w:val="Compact"/>
      </w:pPr>
      <w:r>
        <w:rPr>
          <w:bCs/>
          <w:b/>
        </w:rPr>
        <w:t xml:space="preserve">Last-Mile Delivery (50 km by Van):</w:t>
      </w:r>
    </w:p>
    <w:p>
      <w:pPr>
        <w:numPr>
          <w:ilvl w:val="1"/>
          <w:numId w:val="1013"/>
        </w:numPr>
        <w:pStyle w:val="Compact"/>
      </w:pPr>
      <w:r>
        <w:t xml:space="preserve">Van delivery (50 km): 50 km * 0.23 kgCO2e/km = 11.50 kgCO2e</w:t>
      </w:r>
    </w:p>
    <w:p>
      <w:pPr>
        <w:numPr>
          <w:ilvl w:val="0"/>
          <w:numId w:val="1010"/>
        </w:numPr>
        <w:pStyle w:val="Compact"/>
      </w:pPr>
      <w:r>
        <w:rPr>
          <w:bCs/>
          <w:b/>
        </w:rPr>
        <w:t xml:space="preserve">Total Calculated Transport Emissions:</w:t>
      </w:r>
      <w:r>
        <w:t xml:space="preserve"> </w:t>
      </w:r>
      <w:r>
        <w:t xml:space="preserve">0.32915 + 0.3799 + 11.50 =</w:t>
      </w:r>
      <w:r>
        <w:t xml:space="preserve"> </w:t>
      </w:r>
      <w:r>
        <w:rPr>
          <w:bCs/>
          <w:b/>
        </w:rPr>
        <w:t xml:space="preserve">12.21 kgCO2e</w:t>
      </w:r>
      <w:r>
        <w:t xml:space="preserve"> </w:t>
      </w:r>
      <w:r>
        <w:t xml:space="preserve">(rounded)</w:t>
      </w:r>
    </w:p>
    <w:bookmarkEnd w:id="36"/>
    <w:bookmarkStart w:id="37" w:name="category-11-use-of-sold-products"/>
    <w:p>
      <w:pPr>
        <w:pStyle w:val="Heading4"/>
      </w:pPr>
      <w:r>
        <w:t xml:space="preserve">4.3.3. Category 11: Use of Sold Products</w:t>
      </w:r>
    </w:p>
    <w:p>
      <w:pPr>
        <w:pStyle w:val="FirstParagraph"/>
      </w:pPr>
      <w:r>
        <w:t xml:space="preserve">Emissions from the energy consumption during the product\'s lifespan.</w:t>
      </w:r>
    </w:p>
    <w:p>
      <w:pPr>
        <w:numPr>
          <w:ilvl w:val="0"/>
          <w:numId w:val="1014"/>
        </w:numPr>
        <w:pStyle w:val="Compact"/>
      </w:pPr>
      <w:r>
        <w:t xml:space="preserve">Product Lifespan: 4 years</w:t>
      </w:r>
    </w:p>
    <w:p>
      <w:pPr>
        <w:numPr>
          <w:ilvl w:val="0"/>
          <w:numId w:val="1014"/>
        </w:numPr>
        <w:pStyle w:val="Compact"/>
      </w:pPr>
      <w:r>
        <w:t xml:space="preserve">Annual Energy Consumption in Use: 18 kWh/year</w:t>
      </w:r>
    </w:p>
    <w:p>
      <w:pPr>
        <w:numPr>
          <w:ilvl w:val="0"/>
          <w:numId w:val="1014"/>
        </w:numPr>
        <w:pStyle w:val="Compact"/>
      </w:pPr>
      <w:r>
        <w:t xml:space="preserve">Total Energy Consumption: 18 kWh/year * 4 years = 72 kWh</w:t>
      </w:r>
    </w:p>
    <w:p>
      <w:pPr>
        <w:numPr>
          <w:ilvl w:val="0"/>
          <w:numId w:val="1014"/>
        </w:numPr>
        <w:pStyle w:val="Compact"/>
      </w:pPr>
      <w:r>
        <w:t xml:space="preserve">EU Electricity Grid Emission Factor (Illustrative for user region): 0.28 kgCO2e/kWh</w:t>
      </w:r>
    </w:p>
    <w:p>
      <w:pPr>
        <w:numPr>
          <w:ilvl w:val="0"/>
          <w:numId w:val="1014"/>
        </w:numPr>
        <w:pStyle w:val="Compact"/>
      </w:pPr>
      <w:r>
        <w:rPr>
          <w:bCs/>
          <w:b/>
        </w:rPr>
        <w:t xml:space="preserve">Calculated Use Phase Emissions:</w:t>
      </w:r>
      <w:r>
        <w:t xml:space="preserve"> </w:t>
      </w:r>
      <w:r>
        <w:t xml:space="preserve">72 kWh * 0.28 kgCO2e/kWh =</w:t>
      </w:r>
      <w:r>
        <w:t xml:space="preserve"> </w:t>
      </w:r>
      <w:r>
        <w:rPr>
          <w:bCs/>
          <w:b/>
        </w:rPr>
        <w:t xml:space="preserve">20.16 kgCO2e</w:t>
      </w:r>
    </w:p>
    <w:bookmarkEnd w:id="37"/>
    <w:bookmarkStart w:id="38" w:name="X9f66eef2700632e081dfe139021cb724ffcd2c5"/>
    <w:p>
      <w:pPr>
        <w:pStyle w:val="Heading4"/>
      </w:pPr>
      <w:r>
        <w:t xml:space="preserve">4.3.4. Category 12: End-of-Life Treatment of Sold Products</w:t>
      </w:r>
    </w:p>
    <w:p>
      <w:pPr>
        <w:pStyle w:val="FirstParagraph"/>
      </w:pPr>
      <w:r>
        <w:t xml:space="preserve">Emissions and potential credits associated with the disposal and recycling of the product.</w:t>
      </w:r>
    </w:p>
    <w:p>
      <w:pPr>
        <w:numPr>
          <w:ilvl w:val="0"/>
          <w:numId w:val="1015"/>
        </w:numPr>
        <w:pStyle w:val="Compact"/>
      </w:pPr>
      <w:r>
        <w:t xml:space="preserve">Total Product Weight (excluding packaging): 1.35 kg</w:t>
      </w:r>
    </w:p>
    <w:p>
      <w:pPr>
        <w:numPr>
          <w:ilvl w:val="0"/>
          <w:numId w:val="1015"/>
        </w:numPr>
        <w:pStyle w:val="Compact"/>
      </w:pPr>
      <w:r>
        <w:t xml:space="preserve">Recyclability Percentage: 70%</w:t>
      </w:r>
    </w:p>
    <w:p>
      <w:pPr>
        <w:numPr>
          <w:ilvl w:val="0"/>
          <w:numId w:val="1015"/>
        </w:numPr>
        <w:pStyle w:val="Compact"/>
      </w:pPr>
      <w:r>
        <w:t xml:space="preserve">Mass to Landfill: 1.35 kg * (1 - 0.70) = 0.405 kg</w:t>
      </w:r>
    </w:p>
    <w:p>
      <w:pPr>
        <w:numPr>
          <w:ilvl w:val="0"/>
          <w:numId w:val="1015"/>
        </w:numPr>
        <w:pStyle w:val="Compact"/>
      </w:pPr>
      <w:r>
        <w:t xml:space="preserve">Landfill Emission Factor: 0.35 kgCO2e/kg</w:t>
      </w:r>
    </w:p>
    <w:p>
      <w:pPr>
        <w:numPr>
          <w:ilvl w:val="0"/>
          <w:numId w:val="1015"/>
        </w:numPr>
        <w:pStyle w:val="Compact"/>
      </w:pPr>
      <w:r>
        <w:t xml:space="preserve">Landfill Emissions: 0.405 kg * 0.35 kgCO2e/kg = 0.14175 kgCO2e</w:t>
      </w:r>
    </w:p>
    <w:p>
      <w:pPr>
        <w:numPr>
          <w:ilvl w:val="0"/>
          <w:numId w:val="1015"/>
        </w:numPr>
        <w:pStyle w:val="Compact"/>
      </w:pPr>
      <w:r>
        <w:t xml:space="preserve">Mass Recycled: 1.35 kg * 0.70 = 0.945 kg</w:t>
      </w:r>
    </w:p>
    <w:p>
      <w:pPr>
        <w:numPr>
          <w:ilvl w:val="0"/>
          <w:numId w:val="1015"/>
        </w:numPr>
        <w:pStyle w:val="Compact"/>
      </w:pPr>
      <w:r>
        <w:t xml:space="preserve">Recycling Credit Factor: -1.0 kgCO2e/kg (simplified avoided emissions)</w:t>
      </w:r>
    </w:p>
    <w:p>
      <w:pPr>
        <w:numPr>
          <w:ilvl w:val="0"/>
          <w:numId w:val="1015"/>
        </w:numPr>
        <w:pStyle w:val="Compact"/>
      </w:pPr>
      <w:r>
        <w:t xml:space="preserve">Recycling Credit: 0.945 kg * (-1.0 kgCO2e/kg) = -0.945 kgCO2e</w:t>
      </w:r>
    </w:p>
    <w:p>
      <w:pPr>
        <w:numPr>
          <w:ilvl w:val="0"/>
          <w:numId w:val="1015"/>
        </w:numPr>
        <w:pStyle w:val="Compact"/>
      </w:pPr>
      <w:r>
        <w:rPr>
          <w:bCs/>
          <w:b/>
        </w:rPr>
        <w:t xml:space="preserve">Net Calculated EoL Emissions:</w:t>
      </w:r>
      <w:r>
        <w:t xml:space="preserve"> </w:t>
      </w:r>
      <w:r>
        <w:t xml:space="preserve">0.14175 kgCO2e - 0.945 kgCO2e =</w:t>
      </w:r>
      <w:r>
        <w:t xml:space="preserve"> </w:t>
      </w:r>
      <w:r>
        <w:rPr>
          <w:bCs/>
          <w:b/>
        </w:rPr>
        <w:t xml:space="preserve">-0.80 kgCO2e</w:t>
      </w:r>
      <w:r>
        <w:t xml:space="preserve"> </w:t>
      </w:r>
      <w:r>
        <w:t xml:space="preserve">(Net credit, rounded)</w:t>
      </w:r>
    </w:p>
    <w:bookmarkEnd w:id="38"/>
    <w:bookmarkEnd w:id="39"/>
    <w:bookmarkStart w:id="40"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(kgCO2e/functional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15.60</w:t>
            </w:r>
          </w:p>
        </w:tc>
      </w:tr>
      <w:tr>
        <w:tc>
          <w:tcPr/>
          <w:p>
            <w:pPr>
              <w:pStyle w:val="Compact"/>
              <w:jc w:val="left"/>
            </w:pPr>
            <w:r>
              <w:t xml:space="preserve">Manufacturing (Direct - Fuel Combustion)</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4.64</w:t>
            </w:r>
          </w:p>
        </w:tc>
      </w:tr>
      <w:tr>
        <w:tc>
          <w:tcPr/>
          <w:p>
            <w:pPr>
              <w:pStyle w:val="Compact"/>
              <w:jc w:val="left"/>
            </w:pPr>
            <w:r>
              <w:t xml:space="preserve">Transportation (Upstream &amp; Downstream)</w:t>
            </w:r>
          </w:p>
        </w:tc>
        <w:tc>
          <w:tcPr/>
          <w:p>
            <w:pPr>
              <w:pStyle w:val="Compact"/>
              <w:jc w:val="left"/>
            </w:pPr>
            <w:r>
              <w:t xml:space="preserve">Scope 3 (Category 4)</w:t>
            </w:r>
          </w:p>
        </w:tc>
        <w:tc>
          <w:tcPr/>
          <w:p>
            <w:pPr>
              <w:pStyle w:val="Compact"/>
              <w:jc w:val="left"/>
            </w:pPr>
            <w:r>
              <w:t xml:space="preserve">12.21</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20.16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-0.80</w:t>
            </w:r>
          </w:p>
        </w:tc>
      </w:tr>
      <w:tr>
        <w:tc>
          <w:tcPr>
            <w:gridSpan w:val="2"/>
          </w:tcPr>
          <w:p>
            <w:pPr>
              <w:pStyle w:val="Compact"/>
              <w:jc w:val="left"/>
            </w:pPr>
            <w:r>
              <w:rPr>
                <w:bCs/>
                <w:b/>
              </w:rPr>
              <w:t xml:space="preserve">Total Product Carbon Footprint (ivoepiwwtp)</w:t>
            </w:r>
          </w:p>
        </w:tc>
        <w:tc>
          <w:tcPr/>
          <w:p>
            <w:pPr>
              <w:pStyle w:val="Compact"/>
              <w:jc w:val="left"/>
            </w:pPr>
            <w:r>
              <w:rPr>
                <w:bCs/>
                <w:b/>
              </w:rPr>
              <w:t xml:space="preserve">51.81 kgCO2e</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major emission hotspots for ivoepiwwtp:</w:t>
      </w:r>
    </w:p>
    <w:p>
      <w:pPr>
        <w:numPr>
          <w:ilvl w:val="0"/>
          <w:numId w:val="1016"/>
        </w:numPr>
        <w:pStyle w:val="Compact"/>
      </w:pPr>
      <w:r>
        <w:rPr>
          <w:bCs/>
          <w:b/>
        </w:rPr>
        <w:t xml:space="preserve">Use Phase (20.16 kgCO2e):</w:t>
      </w:r>
      <w:r>
        <w:t xml:space="preserve"> </w:t>
      </w:r>
      <w:r>
        <w:t xml:space="preserve">This is the most significant contributor, primarily due to the electricity consumption over the product\'s lifespan. Efforts to improve energy efficiency of the product or promote renewable energy sources for end-users would yield substantial reductions.</w:t>
      </w:r>
    </w:p>
    <w:p>
      <w:pPr>
        <w:numPr>
          <w:ilvl w:val="0"/>
          <w:numId w:val="1016"/>
        </w:numPr>
        <w:pStyle w:val="Compact"/>
      </w:pPr>
      <w:r>
        <w:rPr>
          <w:bCs/>
          <w:b/>
        </w:rPr>
        <w:t xml:space="preserve">Material Acquisition &amp; Processing (15.60 kgCO2e):</w:t>
      </w:r>
      <w:r>
        <w:t xml:space="preserve"> </w:t>
      </w:r>
      <w:r>
        <w:t xml:space="preserve">The embodied carbon in raw materials, particularly aluminum, electronics, and the battery, represents a substantial portion of the footprint. Strategies for material reduction, use of recycled content, or sourcing lower-carbon materials are crucial.</w:t>
      </w:r>
    </w:p>
    <w:p>
      <w:pPr>
        <w:numPr>
          <w:ilvl w:val="0"/>
          <w:numId w:val="1016"/>
        </w:numPr>
        <w:pStyle w:val="Compact"/>
      </w:pPr>
      <w:r>
        <w:rPr>
          <w:bCs/>
          <w:b/>
        </w:rPr>
        <w:t xml:space="preserve">Transportation (12.21 kgCO2e):</w:t>
      </w:r>
      <w:r>
        <w:t xml:space="preserve"> </w:t>
      </w:r>
      <w:r>
        <w:t xml:space="preserve">While intercontinental freight is efficient per tonne-km, the last-mile delivery by van significantly inflates this category for a single unit. Optimizing last-mile logistics and exploring alternative, lower-emission delivery methods could reduce this impact.</w:t>
      </w:r>
    </w:p>
    <w:p>
      <w:pPr>
        <w:numPr>
          <w:ilvl w:val="0"/>
          <w:numId w:val="1016"/>
        </w:numPr>
        <w:pStyle w:val="Compact"/>
      </w:pPr>
      <w:r>
        <w:rPr>
          <w:bCs/>
          <w:b/>
        </w:rPr>
        <w:t xml:space="preserve">Manufacturing (4.64 kgCO2e):</w:t>
      </w:r>
      <w:r>
        <w:t xml:space="preserve"> </w:t>
      </w:r>
      <w:r>
        <w:t xml:space="preserve">Despite a 60% renewable energy usage, the remaining grid electricity still contributes. Increasing renewable energy procurement or investing in on-site renewables at manufacturing facilities in China can further reduce this.</w:t>
      </w:r>
    </w:p>
    <w:bookmarkEnd w:id="42"/>
    <w:bookmarkStart w:id="44" w:name="reliability-and-future-reporting"/>
    <w:p>
      <w:pPr>
        <w:pStyle w:val="Heading3"/>
      </w:pPr>
      <w:r>
        <w:t xml:space="preserve">5.2. Reliability and Future Reporting</w:t>
      </w:r>
    </w:p>
    <w:p>
      <w:pPr>
        <w:pStyle w:val="FirstParagraph"/>
      </w:pPr>
      <w:r>
        <w:t xml:space="preserve">The calculations in this report are based on the GHG Protocol and integrate key aspects of its latest updates. The Land Sector and Removals (LSR) Standard, effective January 1, 2027, has been acknowledged, particularly regarding its relevance for companies with significant land sector activities or carbon removals. While ivoepiwwtp itself is not a land-intensive product, its supply chain may involve land-use impacts for certain raw materials, which would be further scrutinized under the LSR Standard\'s full implementation. The accompanying guidance for the LSR Standard, expected in Q2 2026, will provide more detailed implementation support.</w:t>
      </w:r>
    </w:p>
    <w:p>
      <w:pPr>
        <w:pStyle w:val="BodyText"/>
      </w:pPr>
      <w:r>
        <w:t xml:space="preserve">The proposed 2026 revisions to the Scope 3 Standard emphasize a **95% coverage rule** for required Scope 3 emissions, mandatory data disaggregation by data type (primary vs. secondary), and disclosure of verification status. This report has utilized illustrative data to demonstrate the calculation methodology. For future, fully compliant reporting, mzhqehfupe should focus on:</w:t>
      </w:r>
    </w:p>
    <w:p>
      <w:pPr>
        <w:numPr>
          <w:ilvl w:val="0"/>
          <w:numId w:val="1017"/>
        </w:numPr>
        <w:pStyle w:val="Compact"/>
      </w:pPr>
      <w:r>
        <w:t xml:space="preserve">Collecting high-quality, primary activity data from direct suppliers and logistics providers for improved accuracy in Scope 3 calculations.</w:t>
      </w:r>
    </w:p>
    <w:p>
      <w:pPr>
        <w:numPr>
          <w:ilvl w:val="0"/>
          <w:numId w:val="1017"/>
        </w:numPr>
        <w:pStyle w:val="Compact"/>
      </w:pPr>
      <w:r>
        <w:t xml:space="preserve">Disaggregating Scope 3 emissions by data type (e.g., supplier-specific vs. industry average) to meet emerging transparency requirements.</w:t>
      </w:r>
    </w:p>
    <w:p>
      <w:pPr>
        <w:numPr>
          <w:ilvl w:val="0"/>
          <w:numId w:val="1017"/>
        </w:numPr>
        <w:pStyle w:val="Compact"/>
      </w:pPr>
      <w:r>
        <w:t xml:space="preserve">Exploring third-party verification for the PCF to enhance credibility and meet potential future disclosure requirements for verification status.</w:t>
      </w:r>
    </w:p>
    <w:p>
      <w:pPr>
        <w:numPr>
          <w:ilvl w:val="0"/>
          <w:numId w:val="1017"/>
        </w:numPr>
        <w:pStyle w:val="Compact"/>
      </w:pPr>
      <w:r>
        <w:t xml:space="preserve">Implementing robust data management systems to track and report emissions consistently year-over-year.</w: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ivoepiwwtp</dc:title>
  <dc:creator/>
  <dc:description>Detailed Product Carbon Footprint (PCF) analysis report for ivoepiwwtp, specializing in GHG Protocol compliance and 2026 updates, for company mzhqehfupe.</dc:description>
  <dc:language>en</dc:language>
  <cp:keywords/>
  <dcterms:created xsi:type="dcterms:W3CDTF">2026-07-15T11:43:26Z</dcterms:created>
  <dcterms:modified xsi:type="dcterms:W3CDTF">2026-07-15T11:43:26Z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