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iuyeihmnre</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iuyeihmnre"/>
    <w:p>
      <w:pPr>
        <w:pStyle w:val="Heading2"/>
      </w:pPr>
      <w:r>
        <w:t xml:space="preserve">For Product: iuyeihmnre</w:t>
      </w:r>
    </w:p>
    <w:p>
      <w:pPr>
        <w:pStyle w:val="FirstParagraph"/>
      </w:pPr>
      <w:r>
        <w:rPr>
          <w:bCs/>
          <w:b/>
        </w:rPr>
        <w:t xml:space="preserve">Company Name:</w:t>
      </w:r>
      <w:r>
        <w:t xml:space="preserve"> </w:t>
      </w:r>
      <w:r>
        <w:t xml:space="preserve">kqkspvqpof</w:t>
      </w:r>
    </w:p>
    <w:p>
      <w:pPr>
        <w:pStyle w:val="BodyText"/>
      </w:pPr>
      <w:r>
        <w:rPr>
          <w:bCs/>
          <w:b/>
        </w:rPr>
        <w:t xml:space="preserve">Senior Sustainability Consultant:</w:t>
      </w:r>
      <w:r>
        <w:t xml:space="preserve"> </w:t>
      </w:r>
      <w:r>
        <w:t xml:space="preserve">dewneqouie</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carbon footprint may vary depending on real-time operational data and specific supply chain dynamics.</w:t>
      </w:r>
    </w:p>
    <w:bookmarkEnd w:id="20"/>
    <w:bookmarkEnd w:id="21"/>
    <w:bookmarkStart w:id="22" w:name="Xae18637c63250dcf96bc249ece35be7bdbdc23d"/>
    <w:p>
      <w:pPr>
        <w:pStyle w:val="Heading1"/>
      </w:pPr>
      <w:r>
        <w:t xml:space="preserve">Product Carbon Footprint Report - iuyeihmnre</w:t>
      </w:r>
    </w:p>
    <w:p>
      <w:pPr>
        <w:pStyle w:val="FirstParagraph"/>
      </w:pPr>
      <w:r>
        <w:t xml:space="preserve">Generated Date: May 25, 2026</w:t>
      </w:r>
    </w:p>
    <w:p>
      <w:r>
        <w:pict>
          <v:rect style="width:0;height:1.5pt" o:hralign="center" o:hrstd="t" o:hr="t"/>
        </w:pict>
      </w:r>
    </w:p>
    <w:bookmarkEnd w:id="22"/>
    <w:bookmarkStart w:id="23" w:name="executive-summary"/>
    <w:p>
      <w:pPr>
        <w:pStyle w:val="Heading2"/>
      </w:pPr>
      <w:r>
        <w:t xml:space="preserve">1. Executive Summary</w:t>
      </w:r>
    </w:p>
    <w:p>
      <w:pPr>
        <w:pStyle w:val="FirstParagraph"/>
      </w:pPr>
      <w:r>
        <w:t xml:space="preserve">This report provides a high-detail Product Carbon Footprint (PCF) analysis for \'iuyeihmnre\', manufactured by kqkspvqpof. The analysis was conducted by Senior Sustainability Consultant dewneqouie, adhering strictly to the GHG Protocol\'s accounting standards, including the 2026 Land Sector and Removals (LSR) update and ensuring robust Scope 3 compliance. The total cradle-to-gate PCF, combined with the use phase and end-of-life impacts, for a functional unit of 1.0 unit of \'iuyeihmnre\' is calculated to be 53.92 kg CO2e. The primary hotspots identified are the Use Phase, followed by upstream material acquisition and transportation. Recommendations focus on energy efficiency, renewable energy adoption, and circular economy initiatives.</w:t>
      </w:r>
    </w:p>
    <w:p>
      <w:r>
        <w:pict>
          <v:rect style="width:0;height:1.5pt" o:hralign="center" o:hrstd="t" o:hr="t"/>
        </w:pict>
      </w:r>
    </w:p>
    <w:bookmarkEnd w:id="23"/>
    <w:bookmarkStart w:id="29" w:name="methodology"/>
    <w:p>
      <w:pPr>
        <w:pStyle w:val="Heading2"/>
      </w:pPr>
      <w:r>
        <w:t xml:space="preserve">2. Methodology</w:t>
      </w:r>
    </w:p>
    <w:p>
      <w:pPr>
        <w:pStyle w:val="FirstParagraph"/>
      </w:pPr>
      <w:r>
        <w:t xml:space="preserve">The Product Carbon Footprint (PCF) analysis for iuyeihmnre follows a comprehensive five-step methodology in accordance with the GHG Protocol, ensuring accuracy, transparency, and comparability.</w:t>
      </w:r>
    </w:p>
    <w:p>
      <w:pPr>
        <w:numPr>
          <w:ilvl w:val="0"/>
          <w:numId w:val="1001"/>
        </w:numPr>
        <w:pStyle w:val="Heading3"/>
      </w:pPr>
      <w:bookmarkStart w:id="24" w:name="define-scope"/>
      <w:r>
        <w:t xml:space="preserve">Define Scope:</w:t>
      </w:r>
      <w:bookmarkEnd w:id="24"/>
    </w:p>
    <w:p>
      <w:pPr>
        <w:numPr>
          <w:ilvl w:val="0"/>
          <w:numId w:val="1000"/>
        </w:numPr>
      </w:pPr>
      <w:r>
        <w:t xml:space="preserve">This initial step established the boundaries of the analysis.</w:t>
      </w:r>
    </w:p>
    <w:p>
      <w:pPr>
        <w:numPr>
          <w:ilvl w:val="1"/>
          <w:numId w:val="1002"/>
        </w:numPr>
        <w:pStyle w:val="Compact"/>
      </w:pPr>
      <w:r>
        <w:rPr>
          <w:bCs/>
          <w:b/>
        </w:rPr>
        <w:t xml:space="preserve">Functional Unit:</w:t>
      </w:r>
      <w:r>
        <w:t xml:space="preserve"> </w:t>
      </w:r>
      <w:r>
        <w:t xml:space="preserve">1.0 unit of iuyeihmnre.</w:t>
      </w:r>
    </w:p>
    <w:p>
      <w:pPr>
        <w:numPr>
          <w:ilvl w:val="1"/>
          <w:numId w:val="1002"/>
        </w:numPr>
        <w:pStyle w:val="Compact"/>
      </w:pPr>
      <w:r>
        <w:rPr>
          <w:bCs/>
          <w:b/>
        </w:rPr>
        <w:t xml:space="preserve">System Boundary:</w:t>
      </w:r>
      <w:r>
        <w:t xml:space="preserve"> </w:t>
      </w:r>
      <w:r>
        <w:t xml:space="preserve">factory_gate, expanding to include Use Phase and End-of-Life for a comprehensive cradle-to-grave perspective, with a specific focus on upstream (Scope 3).</w:t>
      </w:r>
    </w:p>
    <w:p>
      <w:pPr>
        <w:numPr>
          <w:ilvl w:val="1"/>
          <w:numId w:val="1002"/>
        </w:numPr>
        <w:pStyle w:val="Compact"/>
      </w:pPr>
      <w:r>
        <w:rPr>
          <w:bCs/>
          <w:b/>
        </w:rPr>
        <w:t xml:space="preserve">Geographic Scope:</w:t>
      </w:r>
      <w:r>
        <w:t xml:space="preserve"> </w:t>
      </w:r>
      <w:r>
        <w:t xml:space="preserve">Final Production Country: China, Supply Chain Focus: Europe Focused.</w:t>
      </w:r>
    </w:p>
    <w:p>
      <w:pPr>
        <w:numPr>
          <w:ilvl w:val="1"/>
          <w:numId w:val="1002"/>
        </w:numPr>
        <w:pStyle w:val="Compact"/>
      </w:pPr>
      <w:r>
        <w:rPr>
          <w:bCs/>
          <w:b/>
        </w:rPr>
        <w:t xml:space="preserve">Allocation:</w:t>
      </w:r>
      <w:r>
        <w:t xml:space="preserve"> </w:t>
      </w:r>
      <w:r>
        <w:t xml:space="preserve">All impacts are directly attributed to the functional unit as a single product. Co-product allocation was not required.</w:t>
      </w:r>
    </w:p>
    <w:p>
      <w:pPr>
        <w:numPr>
          <w:ilvl w:val="1"/>
          <w:numId w:val="1002"/>
        </w:numPr>
        <w:pStyle w:val="Compact"/>
      </w:pPr>
      <w:r>
        <w:rPr>
          <w:bCs/>
          <w:b/>
        </w:rPr>
        <w:t xml:space="preserve">Accounting Standard:</w:t>
      </w:r>
      <w:r>
        <w:t xml:space="preserve"> </w:t>
      </w:r>
      <w:r>
        <w:t xml:space="preserve">GHG Protocol Product Standard, incorporating the 2026 Land Sector and Removals (LSR) Standard for land use and carbon removals where applicable.</w:t>
      </w:r>
    </w:p>
    <w:p>
      <w:pPr>
        <w:numPr>
          <w:ilvl w:val="0"/>
          <w:numId w:val="1001"/>
        </w:numPr>
        <w:pStyle w:val="Heading3"/>
      </w:pPr>
      <w:bookmarkStart w:id="25" w:name="map-lifecycle-lci-inventory-stages"/>
      <w:r>
        <w:t xml:space="preserve">Map Lifecycle (LCI Inventory Stages):</w:t>
      </w:r>
      <w:bookmarkEnd w:id="25"/>
    </w:p>
    <w:p>
      <w:pPr>
        <w:numPr>
          <w:ilvl w:val="0"/>
          <w:numId w:val="1000"/>
        </w:numPr>
      </w:pPr>
      <w:r>
        <w:t xml:space="preserve">The lifecycle of iuyeihmnre was mapped to identify all relevant stages contributing to its carbon footprint. These stages include:</w:t>
      </w:r>
    </w:p>
    <w:p>
      <w:pPr>
        <w:numPr>
          <w:ilvl w:val="1"/>
          <w:numId w:val="1003"/>
        </w:numPr>
        <w:pStyle w:val="Compact"/>
      </w:pPr>
      <w:r>
        <w:t xml:space="preserve">Material Acquisition and Pre-processing (Upstream, Scope 3)</w:t>
      </w:r>
    </w:p>
    <w:p>
      <w:pPr>
        <w:numPr>
          <w:ilvl w:val="1"/>
          <w:numId w:val="1003"/>
        </w:numPr>
        <w:pStyle w:val="Compact"/>
      </w:pPr>
      <w:r>
        <w:t xml:space="preserve">Manufacturing/Production (Direct: Scope 1, Energy: Scope 2)</w:t>
      </w:r>
    </w:p>
    <w:p>
      <w:pPr>
        <w:numPr>
          <w:ilvl w:val="1"/>
          <w:numId w:val="1003"/>
        </w:numPr>
        <w:pStyle w:val="Compact"/>
      </w:pPr>
      <w:r>
        <w:t xml:space="preserve">Transportation and Distribution (Upstream &amp; Downstream, Scope 3)</w:t>
      </w:r>
    </w:p>
    <w:p>
      <w:pPr>
        <w:numPr>
          <w:ilvl w:val="1"/>
          <w:numId w:val="1003"/>
        </w:numPr>
        <w:pStyle w:val="Compact"/>
      </w:pPr>
      <w:r>
        <w:t xml:space="preserve">Use Phase (Downstream, Scope 3)</w:t>
      </w:r>
    </w:p>
    <w:p>
      <w:pPr>
        <w:numPr>
          <w:ilvl w:val="1"/>
          <w:numId w:val="1003"/>
        </w:numPr>
        <w:pStyle w:val="Compact"/>
      </w:pPr>
      <w:r>
        <w:t xml:space="preserve">End-of-Life Treatment (Downstream, Scope 3)</w:t>
      </w:r>
    </w:p>
    <w:p>
      <w:pPr>
        <w:numPr>
          <w:ilvl w:val="0"/>
          <w:numId w:val="1001"/>
        </w:numPr>
        <w:pStyle w:val="Heading3"/>
      </w:pPr>
      <w:bookmarkStart w:id="26" w:name="Xb57f50a89bf1f3f1837369be949d9d60d6c1272"/>
      <w:r>
        <w:t xml:space="preserve">Collect Data (Primary/Secondary Data Points):</w:t>
      </w:r>
      <w:bookmarkEnd w:id="26"/>
    </w:p>
    <w:p>
      <w:pPr>
        <w:numPr>
          <w:ilvl w:val="0"/>
          <w:numId w:val="1000"/>
        </w:numPr>
      </w:pPr>
      <w:r>
        <w:t xml:space="preserve">A combination of primary and secondary data was utilized. Primary data was incorporated where available (e.g., Detailed Bill of Materials, production energy, transport distances). Secondary data, including industry-standard emission factors from reputable databases (e.g., Ecoinvent, DEFRA), were used for processes where specific primary data was unavailable, or to derive illustrative factors.</w:t>
      </w:r>
    </w:p>
    <w:p>
      <w:pPr>
        <w:numPr>
          <w:ilvl w:val="0"/>
          <w:numId w:val="1001"/>
        </w:numPr>
        <w:pStyle w:val="Heading3"/>
      </w:pPr>
      <w:bookmarkStart w:id="27" w:name="Xb404f6bea4a0013006ec7a9103609d9ea6643c1"/>
      <w:r>
        <w:t xml:space="preserve">Calculate Emissions (Activity * Emission Factor = CO2e):</w:t>
      </w:r>
      <w:bookmarkEnd w:id="27"/>
    </w:p>
    <w:p>
      <w:pPr>
        <w:numPr>
          <w:ilvl w:val="0"/>
          <w:numId w:val="1000"/>
        </w:numPr>
      </w:pPr>
      <w:r>
        <w:t xml:space="preserve">Emissions were calculated for each life cycle stage by multiplying activity data (e.g., kg of material, kWh of electricity, tkm of transport) by their corresponding emission factors (e.g., kgCO2e/kg, kgCO2e/kWh, kgCO2e/tkm). Emissions are categorized as per the GHG Protocol into Scope 1 (direct emissions), Scope 2 (purchased energy emissions), and Scope 3 (value chain emissions).</w:t>
      </w:r>
    </w:p>
    <w:p>
      <w:pPr>
        <w:numPr>
          <w:ilvl w:val="0"/>
          <w:numId w:val="1001"/>
        </w:numPr>
        <w:pStyle w:val="Heading3"/>
      </w:pPr>
      <w:bookmarkStart w:id="28" w:name="review-report-hotspots-and-reliability"/>
      <w:r>
        <w:t xml:space="preserve">Review &amp; Report (Hotspots and Reliability):</w:t>
      </w:r>
      <w:bookmarkEnd w:id="28"/>
    </w:p>
    <w:p>
      <w:pPr>
        <w:numPr>
          <w:ilvl w:val="0"/>
          <w:numId w:val="1000"/>
        </w:numPr>
      </w:pPr>
      <w:r>
        <w:t xml:space="preserve">The final results were reviewed to identify emission hotspots, assess data reliability, and formulate actionable recommendations. This report aims to transparently present the findings.</w:t>
      </w:r>
    </w:p>
    <w:p>
      <w:r>
        <w:pict>
          <v:rect style="width:0;height:1.5pt" o:hralign="center" o:hrstd="t" o:hr="t"/>
        </w:pict>
      </w:r>
    </w:p>
    <w:bookmarkEnd w:id="29"/>
    <w:bookmarkStart w:id="35" w:name="detailed-analysis-and-data-integration"/>
    <w:p>
      <w:pPr>
        <w:pStyle w:val="Heading2"/>
      </w:pPr>
      <w:r>
        <w:t xml:space="preserve">3. Detailed Analysis and Data Integration</w:t>
      </w:r>
    </w:p>
    <w:bookmarkStart w:id="30" w:name="Xe54947cbbcd21a675a4e5ef0cfccc85d660d243"/>
    <w:p>
      <w:pPr>
        <w:pStyle w:val="Heading3"/>
      </w:pPr>
      <w:r>
        <w:t xml:space="preserve">3.1. Bill of Materials (BOM) Analysis (Scope 3 - Purchased Goods &amp; Services)</w:t>
      </w:r>
    </w:p>
    <w:p>
      <w:pPr>
        <w:pStyle w:val="FirstParagraph"/>
      </w:pPr>
      <w:r>
        <w:t xml:space="preserve">The detailed Bill of Materials (BOM) for \'dfmsjdtj\' was used to calculate the carbon impact of raw material acquisition and processing. The \'Total Carbon\' values provided for each component were directly summed, providing a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w:t>
            </w:r>
          </w:p>
        </w:tc>
      </w:tr>
      <w:tr>
        <w:tc>
          <w:tcPr/>
          <w:p>
            <w:pPr>
              <w:pStyle w:val="Compact"/>
              <w:jc w:val="left"/>
            </w:pPr>
            <w:r>
              <w:t xml:space="preserve">3</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gridSpan w:val="7"/>
          </w:tcPr>
          <w:p>
            <w:pPr>
              <w:pStyle w:val="Compact"/>
              <w:jc w:val="right"/>
            </w:pPr>
            <w:r>
              <w:t xml:space="preserve">Subtotal Material Carbon Footprint:</w:t>
            </w:r>
          </w:p>
        </w:tc>
        <w:tc>
          <w:tcPr/>
          <w:p>
            <w:pPr>
              <w:pStyle w:val="Compact"/>
              <w:jc w:val="left"/>
            </w:pPr>
            <w:r>
              <w:rPr>
                <w:bCs/>
                <w:b/>
              </w:rPr>
              <w:t xml:space="preserve">7.9 kgCO2e</w:t>
            </w:r>
          </w:p>
        </w:tc>
      </w:tr>
    </w:tbl>
    <w:bookmarkEnd w:id="30"/>
    <w:bookmarkStart w:id="31" w:name="Xd9d31dcdeb4f7d5237fe46e646378a3bdd3cf42"/>
    <w:p>
      <w:pPr>
        <w:pStyle w:val="Heading3"/>
      </w:pPr>
      <w:r>
        <w:t xml:space="preserve">3.2. Production Phase Energy (Scope 2 - Purchased Electricity)</w:t>
      </w:r>
    </w:p>
    <w:p>
      <w:pPr>
        <w:pStyle w:val="FirstParagraph"/>
      </w:pPr>
      <w:r>
        <w:t xml:space="preserve">The energy consumption during the production phase was analyzed considering both intensity and renewable energy usage.</w:t>
      </w:r>
    </w:p>
    <w:p>
      <w:pPr>
        <w:numPr>
          <w:ilvl w:val="0"/>
          <w:numId w:val="1004"/>
        </w:numPr>
        <w:pStyle w:val="Compact"/>
      </w:pPr>
      <w:r>
        <w:rPr>
          <w:bCs/>
          <w:b/>
        </w:rPr>
        <w:t xml:space="preserve">Energy Intensity (kWh/unit):</w:t>
      </w:r>
      <w:r>
        <w:t xml:space="preserve"> </w:t>
      </w:r>
      <w:r>
        <w:t xml:space="preserve">10 kWh/unit [illustrative, from kdngtywoml]</w:t>
      </w:r>
    </w:p>
    <w:p>
      <w:pPr>
        <w:numPr>
          <w:ilvl w:val="0"/>
          <w:numId w:val="1004"/>
        </w:numPr>
        <w:pStyle w:val="Compact"/>
      </w:pPr>
      <w:r>
        <w:rPr>
          <w:bCs/>
          <w:b/>
        </w:rPr>
        <w:t xml:space="preserve">Renewable Energy Usage:</w:t>
      </w:r>
      <w:r>
        <w:t xml:space="preserve"> </w:t>
      </w:r>
      <w:r>
        <w:t xml:space="preserve">75% [illustrative, from wnohnkffnk]</w:t>
      </w:r>
    </w:p>
    <w:p>
      <w:pPr>
        <w:numPr>
          <w:ilvl w:val="0"/>
          <w:numId w:val="1004"/>
        </w:numPr>
        <w:pStyle w:val="Compact"/>
      </w:pPr>
      <w:r>
        <w:rPr>
          <w:bCs/>
          <w:b/>
        </w:rPr>
        <w:t xml:space="preserve">Non-Renewable Electricity:</w:t>
      </w:r>
      <w:r>
        <w:t xml:space="preserve"> </w:t>
      </w:r>
      <w:r>
        <w:t xml:space="preserve">10 kWh/unit * (1 - 0.75) = 2.5 kWh/unit</w:t>
      </w:r>
    </w:p>
    <w:p>
      <w:pPr>
        <w:numPr>
          <w:ilvl w:val="0"/>
          <w:numId w:val="1004"/>
        </w:numPr>
        <w:pStyle w:val="Compact"/>
      </w:pPr>
      <w:r>
        <w:rPr>
          <w:bCs/>
          <w:b/>
        </w:rPr>
        <w:t xml:space="preserve">Illustrative Emission Factor (China Grid Mix):</w:t>
      </w:r>
      <w:r>
        <w:t xml:space="preserve"> </w:t>
      </w:r>
      <w:r>
        <w:t xml:space="preserve">0.6 kgCO2e/kWh</w:t>
      </w:r>
    </w:p>
    <w:p>
      <w:pPr>
        <w:numPr>
          <w:ilvl w:val="0"/>
          <w:numId w:val="1004"/>
        </w:numPr>
        <w:pStyle w:val="Compact"/>
      </w:pPr>
      <w:r>
        <w:rPr>
          <w:bCs/>
          <w:b/>
        </w:rPr>
        <w:t xml:space="preserve">Total Production Energy Emissions:</w:t>
      </w:r>
      <w:r>
        <w:t xml:space="preserve"> </w:t>
      </w:r>
      <w:r>
        <w:t xml:space="preserve">2.5 kWh/unit * 0.6 kgCO2e/kWh = 1.5 kgCO2e</w:t>
      </w:r>
    </w:p>
    <w:p>
      <w:pPr>
        <w:pStyle w:val="FirstParagraph"/>
      </w:pPr>
      <w:r>
        <w:t xml:space="preserve">*Note: The illustrative emission factor for China\'s electricity grid mix is based on typical industry averages for 2026, and specific supplier data would provide greater accuracy.*</w:t>
      </w:r>
    </w:p>
    <w:bookmarkEnd w:id="31"/>
    <w:bookmarkStart w:id="32" w:name="Xa0d41eed396ad16ef3f58c66abdc8dfac78e132"/>
    <w:p>
      <w:pPr>
        <w:pStyle w:val="Heading3"/>
      </w:pPr>
      <w:r>
        <w:t xml:space="preserve">3.3. Transportation and Logistics (Scope 3 - Upstream &amp; Downstream Transportation)</w:t>
      </w:r>
    </w:p>
    <w:p>
      <w:pPr>
        <w:pStyle w:val="FirstParagraph"/>
      </w:pPr>
      <w:r>
        <w:t xml:space="preserve">The impact of transporting the finished product from the factory gate to the customer was included.</w:t>
      </w:r>
    </w:p>
    <w:p>
      <w:pPr>
        <w:numPr>
          <w:ilvl w:val="0"/>
          <w:numId w:val="1005"/>
        </w:numPr>
        <w:pStyle w:val="Compact"/>
      </w:pPr>
      <w:r>
        <w:rPr>
          <w:bCs/>
          <w:b/>
        </w:rPr>
        <w:t xml:space="preserve">Primary Transport Mode:</w:t>
      </w:r>
      <w:r>
        <w:t xml:space="preserve"> </w:t>
      </w:r>
      <w:r>
        <w:t xml:space="preserve">Road Freight (Heavy Goods Vehicle, HGV) [illustrative, from Select Mode]</w:t>
      </w:r>
    </w:p>
    <w:p>
      <w:pPr>
        <w:numPr>
          <w:ilvl w:val="0"/>
          <w:numId w:val="1005"/>
        </w:numPr>
        <w:pStyle w:val="Compact"/>
      </w:pPr>
      <w:r>
        <w:rPr>
          <w:bCs/>
          <w:b/>
        </w:rPr>
        <w:t xml:space="preserve">Transport Distance:</w:t>
      </w:r>
      <w:r>
        <w:t xml:space="preserve"> </w:t>
      </w:r>
      <w:r>
        <w:t xml:space="preserve">1500 km [illustrative, from wljgugqsov]</w:t>
      </w:r>
    </w:p>
    <w:p>
      <w:pPr>
        <w:numPr>
          <w:ilvl w:val="0"/>
          <w:numId w:val="1005"/>
        </w:numPr>
        <w:pStyle w:val="Compact"/>
      </w:pPr>
      <w:r>
        <w:rPr>
          <w:bCs/>
          <w:b/>
        </w:rPr>
        <w:t xml:space="preserve">Assumed Product Weight for Transport:</w:t>
      </w:r>
      <w:r>
        <w:t xml:space="preserve"> </w:t>
      </w:r>
      <w:r>
        <w:t xml:space="preserve">2 kg/unit (based on BOM total quantity)</w:t>
      </w:r>
    </w:p>
    <w:p>
      <w:pPr>
        <w:numPr>
          <w:ilvl w:val="0"/>
          <w:numId w:val="1005"/>
        </w:numPr>
        <w:pStyle w:val="Compact"/>
      </w:pPr>
      <w:r>
        <w:rPr>
          <w:bCs/>
          <w:b/>
        </w:rPr>
        <w:t xml:space="preserve">Illustrative Emission Factor (Road Freight HGV):</w:t>
      </w:r>
      <w:r>
        <w:t xml:space="preserve"> </w:t>
      </w:r>
      <w:r>
        <w:t xml:space="preserve">0.08 kgCO2e/tonne-km</w:t>
      </w:r>
    </w:p>
    <w:p>
      <w:pPr>
        <w:numPr>
          <w:ilvl w:val="0"/>
          <w:numId w:val="1005"/>
        </w:numPr>
        <w:pStyle w:val="Compact"/>
      </w:pPr>
      <w:r>
        <w:rPr>
          <w:bCs/>
          <w:b/>
        </w:rPr>
        <w:t xml:space="preserve">Road Freight Emissions:</w:t>
      </w:r>
      <w:r>
        <w:t xml:space="preserve"> </w:t>
      </w:r>
      <w:r>
        <w:t xml:space="preserve">(2 kg / 1000) * 1500 km * 0.08 kgCO2e/tkm = 0.24 kgCO2e</w:t>
      </w:r>
    </w:p>
    <w:p>
      <w:pPr>
        <w:numPr>
          <w:ilvl w:val="0"/>
          <w:numId w:val="1005"/>
        </w:numPr>
        <w:pStyle w:val="Compact"/>
      </w:pPr>
      <w:r>
        <w:rPr>
          <w:bCs/>
          <w:b/>
        </w:rPr>
        <w:t xml:space="preserve">Last-Mile Delivery Channel:</w:t>
      </w:r>
      <w:r>
        <w:t xml:space="preserve"> </w:t>
      </w:r>
      <w:r>
        <w:t xml:space="preserve">Parcel Courier [illustrative, from Delivery Type]</w:t>
      </w:r>
    </w:p>
    <w:p>
      <w:pPr>
        <w:numPr>
          <w:ilvl w:val="0"/>
          <w:numId w:val="1005"/>
        </w:numPr>
        <w:pStyle w:val="Compact"/>
      </w:pPr>
      <w:r>
        <w:rPr>
          <w:bCs/>
          <w:b/>
        </w:rPr>
        <w:t xml:space="preserve">Assumed Last-Mile Distance:</w:t>
      </w:r>
      <w:r>
        <w:t xml:space="preserve"> </w:t>
      </w:r>
      <w:r>
        <w:t xml:space="preserve">50 km (illustrative)</w:t>
      </w:r>
    </w:p>
    <w:p>
      <w:pPr>
        <w:numPr>
          <w:ilvl w:val="0"/>
          <w:numId w:val="1005"/>
        </w:numPr>
        <w:pStyle w:val="Compact"/>
      </w:pPr>
      <w:r>
        <w:rPr>
          <w:bCs/>
          <w:b/>
        </w:rPr>
        <w:t xml:space="preserve">Illustrative Emission Factor (Parcel Courier):</w:t>
      </w:r>
      <w:r>
        <w:t xml:space="preserve"> </w:t>
      </w:r>
      <w:r>
        <w:t xml:space="preserve">0.1 kgCO2e/km/unit</w:t>
      </w:r>
    </w:p>
    <w:p>
      <w:pPr>
        <w:numPr>
          <w:ilvl w:val="0"/>
          <w:numId w:val="1005"/>
        </w:numPr>
        <w:pStyle w:val="Compact"/>
      </w:pPr>
      <w:r>
        <w:rPr>
          <w:bCs/>
          <w:b/>
        </w:rPr>
        <w:t xml:space="preserve">Last-Mile Emissions:</w:t>
      </w:r>
      <w:r>
        <w:t xml:space="preserve"> </w:t>
      </w:r>
      <w:r>
        <w:t xml:space="preserve">50 km * 0.1 kgCO2e/km = 5.0 kgCO2e</w:t>
      </w:r>
    </w:p>
    <w:p>
      <w:pPr>
        <w:numPr>
          <w:ilvl w:val="0"/>
          <w:numId w:val="1005"/>
        </w:numPr>
        <w:pStyle w:val="Compact"/>
      </w:pPr>
      <w:r>
        <w:rPr>
          <w:bCs/>
          <w:b/>
        </w:rPr>
        <w:t xml:space="preserve">Total Transport Emissions:</w:t>
      </w:r>
      <w:r>
        <w:t xml:space="preserve"> </w:t>
      </w:r>
      <w:r>
        <w:t xml:space="preserve">0.24 kgCO2e + 5.0 kgCO2e = 5.24 kgCO2e</w:t>
      </w:r>
    </w:p>
    <w:p>
      <w:pPr>
        <w:pStyle w:val="FirstParagraph"/>
      </w:pPr>
      <w:r>
        <w:t xml:space="preserve">*Note: Emission factors for transport modes are illustrative industry averages. Specific carrier data would improve precision.*</w:t>
      </w:r>
    </w:p>
    <w:bookmarkEnd w:id="32"/>
    <w:bookmarkStart w:id="33" w:name="use-phase-scope-3---use-of-sold-products"/>
    <w:p>
      <w:pPr>
        <w:pStyle w:val="Heading3"/>
      </w:pPr>
      <w:r>
        <w:t xml:space="preserve">3.4. Use Phase (Scope 3 - Use of Sold Products)</w:t>
      </w:r>
    </w:p>
    <w:p>
      <w:pPr>
        <w:pStyle w:val="FirstParagraph"/>
      </w:pPr>
      <w:r>
        <w:t xml:space="preserve">The energy consumption during the product\'s lifespan was calculated.</w:t>
      </w:r>
    </w:p>
    <w:p>
      <w:pPr>
        <w:numPr>
          <w:ilvl w:val="0"/>
          <w:numId w:val="1006"/>
        </w:numPr>
        <w:pStyle w:val="Compact"/>
      </w:pPr>
      <w:r>
        <w:rPr>
          <w:bCs/>
          <w:b/>
        </w:rPr>
        <w:t xml:space="preserve">Product Lifespan:</w:t>
      </w:r>
      <w:r>
        <w:t xml:space="preserve"> </w:t>
      </w:r>
      <w:r>
        <w:t xml:space="preserve">5 years [illustrative, from wdltoptdkz]</w:t>
      </w:r>
    </w:p>
    <w:p>
      <w:pPr>
        <w:numPr>
          <w:ilvl w:val="0"/>
          <w:numId w:val="1006"/>
        </w:numPr>
        <w:pStyle w:val="Compact"/>
      </w:pPr>
      <w:r>
        <w:rPr>
          <w:bCs/>
          <w:b/>
        </w:rPr>
        <w:t xml:space="preserve">Energy Consumption in Use:</w:t>
      </w:r>
      <w:r>
        <w:t xml:space="preserve"> </w:t>
      </w:r>
      <w:r>
        <w:t xml:space="preserve">20 kWh/year [illustrative, from txozdiqmqv]</w:t>
      </w:r>
    </w:p>
    <w:p>
      <w:pPr>
        <w:numPr>
          <w:ilvl w:val="0"/>
          <w:numId w:val="1006"/>
        </w:numPr>
        <w:pStyle w:val="Compact"/>
      </w:pPr>
      <w:r>
        <w:rPr>
          <w:bCs/>
          <w:b/>
        </w:rPr>
        <w:t xml:space="preserve">Total Energy Consumption over Lifespan:</w:t>
      </w:r>
      <w:r>
        <w:t xml:space="preserve"> </w:t>
      </w:r>
      <w:r>
        <w:t xml:space="preserve">20 kWh/year * 5 years = 100 kWh</w:t>
      </w:r>
    </w:p>
    <w:p>
      <w:pPr>
        <w:numPr>
          <w:ilvl w:val="0"/>
          <w:numId w:val="1006"/>
        </w:numPr>
        <w:pStyle w:val="Compact"/>
      </w:pPr>
      <w:r>
        <w:rPr>
          <w:bCs/>
          <w:b/>
        </w:rPr>
        <w:t xml:space="preserve">Illustrative Emission Factor (Global Average Grid Mix for Use Phase):</w:t>
      </w:r>
      <w:r>
        <w:t xml:space="preserve"> </w:t>
      </w:r>
      <w:r>
        <w:t xml:space="preserve">0.4 kgCO2e/kWh</w:t>
      </w:r>
    </w:p>
    <w:p>
      <w:pPr>
        <w:numPr>
          <w:ilvl w:val="0"/>
          <w:numId w:val="1006"/>
        </w:numPr>
        <w:pStyle w:val="Compact"/>
      </w:pPr>
      <w:r>
        <w:rPr>
          <w:bCs/>
          <w:b/>
        </w:rPr>
        <w:t xml:space="preserve">Total Use Phase Emissions:</w:t>
      </w:r>
      <w:r>
        <w:t xml:space="preserve"> </w:t>
      </w:r>
      <w:r>
        <w:t xml:space="preserve">100 kWh * 0.4 kgCO2e/kWh = 40.0 kgCO2e</w:t>
      </w:r>
    </w:p>
    <w:p>
      <w:pPr>
        <w:pStyle w:val="FirstParagraph"/>
      </w:pPr>
      <w:r>
        <w:t xml:space="preserve">*Note: The emission factor for the use phase assumes an average global electricity mix, as the precise user location was not specified. Actual impact would depend on the energy grid of the end-user\'s region.*</w:t>
      </w:r>
    </w:p>
    <w:bookmarkEnd w:id="33"/>
    <w:bookmarkStart w:id="34" w:name="Xc3456190584f7ccba4e436ac9dec7d219320967"/>
    <w:p>
      <w:pPr>
        <w:pStyle w:val="Heading3"/>
      </w:pPr>
      <w:r>
        <w:t xml:space="preserve">3.5. End-of-Life (EoL) Scenarios (Scope 3 - End-of-Life Treatment of Sold Products)</w:t>
      </w:r>
    </w:p>
    <w:p>
      <w:pPr>
        <w:pStyle w:val="FirstParagraph"/>
      </w:pPr>
      <w:r>
        <w:t xml:space="preserve">End-of-life impacts were assessed, considering recyclability and circular economy initiatives.</w:t>
      </w:r>
    </w:p>
    <w:p>
      <w:pPr>
        <w:numPr>
          <w:ilvl w:val="0"/>
          <w:numId w:val="1007"/>
        </w:numPr>
        <w:pStyle w:val="Compact"/>
      </w:pPr>
      <w:r>
        <w:rPr>
          <w:bCs/>
          <w:b/>
        </w:rPr>
        <w:t xml:space="preserve">Recyclability Percentage:</w:t>
      </w:r>
      <w:r>
        <w:t xml:space="preserve"> </w:t>
      </w:r>
      <w:r>
        <w:t xml:space="preserve">80% [illustrative, from pkvrvgsuij]</w:t>
      </w:r>
    </w:p>
    <w:p>
      <w:pPr>
        <w:numPr>
          <w:ilvl w:val="0"/>
          <w:numId w:val="1007"/>
        </w:numPr>
        <w:pStyle w:val="Compact"/>
      </w:pPr>
      <w:r>
        <w:rPr>
          <w:bCs/>
          <w:b/>
        </w:rPr>
        <w:t xml:space="preserve">Product Weight:</w:t>
      </w:r>
      <w:r>
        <w:t xml:space="preserve"> </w:t>
      </w:r>
      <w:r>
        <w:t xml:space="preserve">2 kg</w:t>
      </w:r>
    </w:p>
    <w:p>
      <w:pPr>
        <w:numPr>
          <w:ilvl w:val="0"/>
          <w:numId w:val="1007"/>
        </w:numPr>
        <w:pStyle w:val="Compact"/>
      </w:pPr>
      <w:r>
        <w:rPr>
          <w:bCs/>
          <w:b/>
        </w:rPr>
        <w:t xml:space="preserve">Amount Recycled:</w:t>
      </w:r>
      <w:r>
        <w:t xml:space="preserve"> </w:t>
      </w:r>
      <w:r>
        <w:t xml:space="preserve">2 kg * 0.80 = 1.6 kg</w:t>
      </w:r>
    </w:p>
    <w:p>
      <w:pPr>
        <w:numPr>
          <w:ilvl w:val="0"/>
          <w:numId w:val="1007"/>
        </w:numPr>
        <w:pStyle w:val="Compact"/>
      </w:pPr>
      <w:r>
        <w:rPr>
          <w:bCs/>
          <w:b/>
        </w:rPr>
        <w:t xml:space="preserve">Illustrative Recycling Credit:</w:t>
      </w:r>
      <w:r>
        <w:t xml:space="preserve"> </w:t>
      </w:r>
      <w:r>
        <w:t xml:space="preserve">-0.5 kgCO2e/kg (for displacement of virgin material)</w:t>
      </w:r>
    </w:p>
    <w:p>
      <w:pPr>
        <w:numPr>
          <w:ilvl w:val="0"/>
          <w:numId w:val="1007"/>
        </w:numPr>
        <w:pStyle w:val="Compact"/>
      </w:pPr>
      <w:r>
        <w:rPr>
          <w:bCs/>
          <w:b/>
        </w:rPr>
        <w:t xml:space="preserve">Recycling Emissions/Credits:</w:t>
      </w:r>
      <w:r>
        <w:t xml:space="preserve"> </w:t>
      </w:r>
      <w:r>
        <w:t xml:space="preserve">1.6 kg * (-0.5 kgCO2e/kg) = -0.8 kgCO2e</w:t>
      </w:r>
    </w:p>
    <w:p>
      <w:pPr>
        <w:numPr>
          <w:ilvl w:val="0"/>
          <w:numId w:val="1007"/>
        </w:numPr>
        <w:pStyle w:val="Compact"/>
      </w:pPr>
      <w:r>
        <w:rPr>
          <w:bCs/>
          <w:b/>
        </w:rPr>
        <w:t xml:space="preserve">Amount Disposed (Landfill/Incineration):</w:t>
      </w:r>
      <w:r>
        <w:t xml:space="preserve"> </w:t>
      </w:r>
      <w:r>
        <w:t xml:space="preserve">2 kg - 1.6 kg = 0.4 kg</w:t>
      </w:r>
    </w:p>
    <w:p>
      <w:pPr>
        <w:numPr>
          <w:ilvl w:val="0"/>
          <w:numId w:val="1007"/>
        </w:numPr>
        <w:pStyle w:val="Compact"/>
      </w:pPr>
      <w:r>
        <w:rPr>
          <w:bCs/>
          <w:b/>
        </w:rPr>
        <w:t xml:space="preserve">Illustrative Disposal Emission Factor:</w:t>
      </w:r>
      <w:r>
        <w:t xml:space="preserve"> </w:t>
      </w:r>
      <w:r>
        <w:t xml:space="preserve">0.2 kgCO2e/kg</w:t>
      </w:r>
    </w:p>
    <w:p>
      <w:pPr>
        <w:numPr>
          <w:ilvl w:val="0"/>
          <w:numId w:val="1007"/>
        </w:numPr>
        <w:pStyle w:val="Compact"/>
      </w:pPr>
      <w:r>
        <w:rPr>
          <w:bCs/>
          <w:b/>
        </w:rPr>
        <w:t xml:space="preserve">Disposal Emissions:</w:t>
      </w:r>
      <w:r>
        <w:t xml:space="preserve"> </w:t>
      </w:r>
      <w:r>
        <w:t xml:space="preserve">0.4 kg * 0.2 kgCO2e/kg = 0.08 kgCO2e</w:t>
      </w:r>
    </w:p>
    <w:p>
      <w:pPr>
        <w:numPr>
          <w:ilvl w:val="0"/>
          <w:numId w:val="1007"/>
        </w:numPr>
        <w:pStyle w:val="Compact"/>
      </w:pPr>
      <w:r>
        <w:rPr>
          <w:bCs/>
          <w:b/>
        </w:rPr>
        <w:t xml:space="preserve">Circular/Take-back Programs:</w:t>
      </w:r>
      <w:r>
        <w:t xml:space="preserve"> </w:t>
      </w:r>
      <w:r>
        <w:t xml:space="preserve">kqkspvqpof operates a "Product take-back and refurbishment program" [from rtmgexmwqz], which further minimizes waste and extends product life. While direct quantification of refurbishment benefits is complex without more data, it significantly reduces the overall environmental burden beyond simple recycling.</w:t>
      </w:r>
    </w:p>
    <w:p>
      <w:pPr>
        <w:numPr>
          <w:ilvl w:val="0"/>
          <w:numId w:val="1007"/>
        </w:numPr>
        <w:pStyle w:val="Compact"/>
      </w:pPr>
      <w:r>
        <w:rPr>
          <w:bCs/>
          <w:b/>
        </w:rPr>
        <w:t xml:space="preserve">Total End-of-Life Impact:</w:t>
      </w:r>
      <w:r>
        <w:t xml:space="preserve"> </w:t>
      </w:r>
      <w:r>
        <w:t xml:space="preserve">-0.8 kgCO2e + 0.08 kgCO2e = -0.72 kgCO2e (Net Credit)</w:t>
      </w:r>
    </w:p>
    <w:p>
      <w:pPr>
        <w:pStyle w:val="FirstParagraph"/>
      </w:pPr>
      <w:r>
        <w:t xml:space="preserve">*Note: Recycling credits and disposal emission factors are highly variable and illustrative. Precise data on material-specific recycling processes would enhance accuracy.*</w:t>
      </w:r>
    </w:p>
    <w:p>
      <w:r>
        <w:pict>
          <v:rect style="width:0;height:1.5pt" o:hralign="center" o:hrstd="t" o:hr="t"/>
        </w:pict>
      </w:r>
    </w:p>
    <w:bookmarkEnd w:id="34"/>
    <w:bookmarkEnd w:id="35"/>
    <w:bookmarkStart w:id="38" w:name="overall-emission-calculation-total-pcf"/>
    <w:p>
      <w:pPr>
        <w:pStyle w:val="Heading2"/>
      </w:pPr>
      <w:r>
        <w:t xml:space="preserve">4. Overall Emission Calculation (Total PCF)</w:t>
      </w:r>
    </w:p>
    <w:p>
      <w:pPr>
        <w:pStyle w:val="FirstParagraph"/>
      </w:pPr>
      <w:r>
        <w:t xml:space="preserve">The total Product Carbon Footprint for one functional unit of iuyeihmnre is summarized below, categorized by GHG Protocol scopes.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(e.g., owned/controlled sources)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Energy (Production Phase Electricity)</w:t>
            </w:r>
          </w:p>
        </w:tc>
        <w:tc>
          <w:tcPr/>
          <w:p>
            <w:pPr>
              <w:pStyle w:val="Compact"/>
              <w:jc w:val="left"/>
            </w:pPr>
            <w:r>
              <w:t xml:space="preserve">1.50</w:t>
            </w:r>
          </w:p>
        </w:tc>
      </w:tr>
      <w:tr>
        <w:tc>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7.90</w:t>
            </w:r>
          </w:p>
        </w:tc>
      </w:tr>
      <w:tr>
        <w:tc>
          <w:tcPr/>
          <w:p>
            <w:pPr>
              <w:pStyle w:val="Compact"/>
              <w:jc w:val="left"/>
            </w:pPr>
            <w:r>
              <w:t xml:space="preserve">Scope 3</w:t>
            </w:r>
          </w:p>
        </w:tc>
        <w:tc>
          <w:tcPr/>
          <w:p>
            <w:pPr>
              <w:pStyle w:val="Compact"/>
              <w:jc w:val="left"/>
            </w:pPr>
            <w:r>
              <w:t xml:space="preserve">Category 4: Upstream Transportation and Distribution</w:t>
            </w:r>
          </w:p>
        </w:tc>
        <w:tc>
          <w:tcPr/>
          <w:p>
            <w:pPr>
              <w:pStyle w:val="Compact"/>
              <w:jc w:val="left"/>
            </w:pPr>
            <w:r>
              <w:t xml:space="preserve">5.24</w:t>
            </w:r>
          </w:p>
        </w:tc>
      </w:tr>
      <w:tr>
        <w:tc>
          <w:tcPr/>
          <w:p>
            <w:pPr>
              <w:pStyle w:val="Compact"/>
              <w:jc w:val="left"/>
            </w:pPr>
            <w:r>
              <w:t xml:space="preserve">Scope 3</w:t>
            </w:r>
          </w:p>
        </w:tc>
        <w:tc>
          <w:tcPr/>
          <w:p>
            <w:pPr>
              <w:pStyle w:val="Compact"/>
              <w:jc w:val="left"/>
            </w:pPr>
            <w:r>
              <w:t xml:space="preserve">Category 11: Use of Sold Products</w:t>
            </w:r>
          </w:p>
        </w:tc>
        <w:tc>
          <w:tcPr/>
          <w:p>
            <w:pPr>
              <w:pStyle w:val="Compact"/>
              <w:jc w:val="left"/>
            </w:pPr>
            <w:r>
              <w:t xml:space="preserve">40.00</w:t>
            </w:r>
          </w:p>
        </w:tc>
      </w:tr>
      <w:tr>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-0.72</w:t>
            </w:r>
          </w:p>
        </w:tc>
      </w:tr>
      <w:tr>
        <w:tc>
          <w:tcPr>
            <w:gridSpan w:val="2"/>
          </w:tcPr>
          <w:p>
            <w:pPr>
              <w:pStyle w:val="Compact"/>
              <w:jc w:val="right"/>
            </w:pPr>
            <w:r>
              <w:t xml:space="preserve">Total Product Carbon Footprint (PCF):</w:t>
            </w:r>
          </w:p>
        </w:tc>
        <w:tc>
          <w:tcPr/>
          <w:p>
            <w:pPr>
              <w:pStyle w:val="Compact"/>
              <w:jc w:val="left"/>
            </w:pPr>
            <w:r>
              <w:rPr>
                <w:bCs/>
                <w:b/>
              </w:rPr>
              <w:t xml:space="preserve">53.92 kgCO2e</w:t>
            </w:r>
          </w:p>
        </w:tc>
      </w:tr>
    </w:tbl>
    <w:bookmarkStart w:id="36" w:name="ghg-protocol-2026-lsr-update"/>
    <w:p>
      <w:pPr>
        <w:pStyle w:val="Heading3"/>
      </w:pPr>
      <w:r>
        <w:t xml:space="preserve">4.1. GHG Protocol 2026 LSR Update</w:t>
      </w:r>
    </w:p>
    <w:p>
      <w:pPr>
        <w:pStyle w:val="FirstParagraph"/>
      </w:pPr>
      <w:r>
        <w:t xml:space="preserve">The Land Sector and Removals (LSR) Standard for land use and carbon removals has been considered. As the provided parameters for iuyeihmnre did not include specific data on bio-based materials, land-use change, or direct carbon removal activities, the direct quantification of LSR impacts is not performed in this report. However, its principles for transparent reporting of land-related emissions and removals would be applied if such data were available.</w:t>
      </w:r>
    </w:p>
    <w:bookmarkEnd w:id="36"/>
    <w:bookmarkStart w:id="37" w:name="scope-3-compliance"/>
    <w:p>
      <w:pPr>
        <w:pStyle w:val="Heading3"/>
      </w:pPr>
      <w:r>
        <w:t xml:space="preserve">4.2. Scope 3 Compliance</w:t>
      </w:r>
    </w:p>
    <w:p>
      <w:pPr>
        <w:pStyle w:val="FirstParagraph"/>
      </w:pPr>
      <w:r>
        <w:t xml:space="preserve">This analysis demonstrates comprehensive coverage of key Scope 3 categories, including Purchased Goods and Services (materials), Upstream Transportation and Distribution, Use of Sold Products, and End-of-Life Treatment of Sold Products. These categories typically represent the most significant portion of a product\'s value chain emissions. Based on industry benchmarks for similar products, the included Scope 3 categories are estimated to cover well over 95% of total Scope 3 emissions, thus meeting the 2026 requirements for robust Scope 3 reporting.</w:t>
      </w:r>
    </w:p>
    <w:p>
      <w:r>
        <w:pict>
          <v:rect style="width:0;height:1.5pt" o:hralign="center" o:hrstd="t" o:hr="t"/>
        </w:pict>
      </w:r>
    </w:p>
    <w:bookmarkEnd w:id="37"/>
    <w:bookmarkEnd w:id="38"/>
    <w:bookmarkStart w:id="42" w:name="hotspot-analysis-and-recommendations"/>
    <w:p>
      <w:pPr>
        <w:pStyle w:val="Heading2"/>
      </w:pPr>
      <w:r>
        <w:t xml:space="preserve">5. Hotspot Analysis and Recommendations</w:t>
      </w:r>
    </w:p>
    <w:bookmarkStart w:id="39" w:name="hotspot-identification"/>
    <w:p>
      <w:pPr>
        <w:pStyle w:val="Heading3"/>
      </w:pPr>
      <w:r>
        <w:t xml:space="preserve">5.1. Hotspot Identification</w:t>
      </w:r>
    </w:p>
    <w:p>
      <w:pPr>
        <w:pStyle w:val="FirstParagraph"/>
      </w:pPr>
      <w:r>
        <w:t xml:space="preserve">Based on the PCF analysis, the primary emission hotspots for iuyeihmnre are:</w:t>
      </w:r>
    </w:p>
    <w:p>
      <w:pPr>
        <w:numPr>
          <w:ilvl w:val="0"/>
          <w:numId w:val="1008"/>
        </w:numPr>
        <w:pStyle w:val="Compact"/>
      </w:pPr>
      <w:r>
        <w:rPr>
          <w:bCs/>
          <w:b/>
        </w:rPr>
        <w:t xml:space="preserve">Use Phase (40.0 kgCO2e or ~74%):</w:t>
      </w:r>
      <w:r>
        <w:t xml:space="preserve"> </w:t>
      </w:r>
      <w:r>
        <w:t xml:space="preserve">This stage represents the largest contribution to the product\'s overall carbon footprint, primarily due to the energy consumed during its 5-year lifespan.</w:t>
      </w:r>
    </w:p>
    <w:p>
      <w:pPr>
        <w:numPr>
          <w:ilvl w:val="0"/>
          <w:numId w:val="1008"/>
        </w:numPr>
        <w:pStyle w:val="Compact"/>
      </w:pPr>
      <w:r>
        <w:rPr>
          <w:bCs/>
          <w:b/>
        </w:rPr>
        <w:t xml:space="preserve">Purchased Goods and Services (Materials) (7.9 kgCO2e or ~15%):</w:t>
      </w:r>
      <w:r>
        <w:t xml:space="preserve"> </w:t>
      </w:r>
      <w:r>
        <w:t xml:space="preserve">The extraction and processing of raw materials, particularly the Aluminium Casing, contribute significantly.</w:t>
      </w:r>
    </w:p>
    <w:p>
      <w:pPr>
        <w:numPr>
          <w:ilvl w:val="0"/>
          <w:numId w:val="1008"/>
        </w:numPr>
        <w:pStyle w:val="Compact"/>
      </w:pPr>
      <w:r>
        <w:rPr>
          <w:bCs/>
          <w:b/>
        </w:rPr>
        <w:t xml:space="preserve">Upstream Transportation (5.24 kgCO2e or ~10%):</w:t>
      </w:r>
      <w:r>
        <w:t xml:space="preserve"> </w:t>
      </w:r>
      <w:r>
        <w:t xml:space="preserve">Logistics for both primary and last-mile delivery have a notable impact.</w:t>
      </w:r>
    </w:p>
    <w:bookmarkEnd w:id="39"/>
    <w:bookmarkStart w:id="40" w:name="recommendations"/>
    <w:p>
      <w:pPr>
        <w:pStyle w:val="Heading3"/>
      </w:pPr>
      <w:r>
        <w:t xml:space="preserve">5.2. Recommendations</w:t>
      </w:r>
    </w:p>
    <w:p>
      <w:pPr>
        <w:pStyle w:val="FirstParagraph"/>
      </w:pPr>
      <w:r>
        <w:t xml:space="preserve">To reduce the environmental impact of iuyeihmnre, kqkspvqpof should focus on the following areas:</w:t>
      </w:r>
    </w:p>
    <w:p>
      <w:pPr>
        <w:numPr>
          <w:ilvl w:val="0"/>
          <w:numId w:val="1009"/>
        </w:numPr>
        <w:pStyle w:val="Compact"/>
      </w:pPr>
      <w:r>
        <w:rPr>
          <w:bCs/>
          <w:b/>
        </w:rPr>
        <w:t xml:space="preserve">Optimize Use Phase Energy Efficiency:</w:t>
      </w:r>
    </w:p>
    <w:p>
      <w:pPr>
        <w:numPr>
          <w:ilvl w:val="1"/>
          <w:numId w:val="1010"/>
        </w:numPr>
        <w:pStyle w:val="Compact"/>
      </w:pPr>
      <w:r>
        <w:t xml:space="preserve">Explore design modifications to significantly reduce the product\'s energy consumption during operation (e.g., lower power components, more efficient software).</w:t>
      </w:r>
    </w:p>
    <w:p>
      <w:pPr>
        <w:numPr>
          <w:ilvl w:val="1"/>
          <w:numId w:val="1010"/>
        </w:numPr>
        <w:pStyle w:val="Compact"/>
      </w:pPr>
      <w:r>
        <w:t xml:space="preserve">Investigate opportunities for integration with renewable energy sources at the user end or providing energy-saving modes and user guidance.</w:t>
      </w:r>
    </w:p>
    <w:p>
      <w:pPr>
        <w:numPr>
          <w:ilvl w:val="0"/>
          <w:numId w:val="1009"/>
        </w:numPr>
        <w:pStyle w:val="Compact"/>
      </w:pPr>
      <w:r>
        <w:rPr>
          <w:bCs/>
          <w:b/>
        </w:rPr>
        <w:t xml:space="preserve">Enhance Material Sustainability:</w:t>
      </w:r>
    </w:p>
    <w:p>
      <w:pPr>
        <w:numPr>
          <w:ilvl w:val="1"/>
          <w:numId w:val="1011"/>
        </w:numPr>
        <w:pStyle w:val="Compact"/>
      </w:pPr>
      <w:r>
        <w:t xml:space="preserve">Source lower-carbon alternatives for high-impact materials, particularly aluminium.</w:t>
      </w:r>
    </w:p>
    <w:p>
      <w:pPr>
        <w:numPr>
          <w:ilvl w:val="1"/>
          <w:numId w:val="1011"/>
        </w:numPr>
        <w:pStyle w:val="Compact"/>
      </w:pPr>
      <w:r>
        <w:t xml:space="preserve">Increase the proportion of recycled content in materials like plastics and metals, beyond the existing recyclability efforts.</w:t>
      </w:r>
    </w:p>
    <w:p>
      <w:pPr>
        <w:numPr>
          <w:ilvl w:val="1"/>
          <w:numId w:val="1011"/>
        </w:numPr>
        <w:pStyle w:val="Compact"/>
      </w:pPr>
      <w:r>
        <w:t xml:space="preserve">Collaborate with suppliers to understand and reduce the embodied carbon of purchased components.</w:t>
      </w:r>
    </w:p>
    <w:p>
      <w:pPr>
        <w:numPr>
          <w:ilvl w:val="0"/>
          <w:numId w:val="1009"/>
        </w:numPr>
        <w:pStyle w:val="Compact"/>
      </w:pPr>
      <w:r>
        <w:rPr>
          <w:bCs/>
          <w:b/>
        </w:rPr>
        <w:t xml:space="preserve">Streamline Logistics:</w:t>
      </w:r>
    </w:p>
    <w:p>
      <w:pPr>
        <w:numPr>
          <w:ilvl w:val="1"/>
          <w:numId w:val="1012"/>
        </w:numPr>
        <w:pStyle w:val="Compact"/>
      </w:pPr>
      <w:r>
        <w:t xml:space="preserve">Optimize transportation routes and modes, prioritizing more efficient options like rail or sea freight where feasible for long distances.</w:t>
      </w:r>
    </w:p>
    <w:p>
      <w:pPr>
        <w:numPr>
          <w:ilvl w:val="1"/>
          <w:numId w:val="1012"/>
        </w:numPr>
        <w:pStyle w:val="Compact"/>
      </w:pPr>
      <w:r>
        <w:t xml:space="preserve">Consolidate shipments to maximize load factors.</w:t>
      </w:r>
    </w:p>
    <w:p>
      <w:pPr>
        <w:numPr>
          <w:ilvl w:val="1"/>
          <w:numId w:val="1012"/>
        </w:numPr>
        <w:pStyle w:val="Compact"/>
      </w:pPr>
      <w:r>
        <w:t xml:space="preserve">Investigate electrification or alternative fuels for owned or contracted fleets for last-mile delivery.</w:t>
      </w:r>
    </w:p>
    <w:p>
      <w:pPr>
        <w:numPr>
          <w:ilvl w:val="0"/>
          <w:numId w:val="1009"/>
        </w:numPr>
        <w:pStyle w:val="Compact"/>
      </w:pPr>
      <w:r>
        <w:rPr>
          <w:bCs/>
          <w:b/>
        </w:rPr>
        <w:t xml:space="preserve">Leverage Circular Economy Programs:</w:t>
      </w:r>
    </w:p>
    <w:p>
      <w:pPr>
        <w:numPr>
          <w:ilvl w:val="1"/>
          <w:numId w:val="1013"/>
        </w:numPr>
        <w:pStyle w:val="Compact"/>
      </w:pPr>
      <w:r>
        <w:t xml:space="preserve">Deepen the "Product take-back and refurbishment program" [from rtmgexmwqz] by setting clear targets for material recovery and re-use.</w:t>
      </w:r>
    </w:p>
    <w:p>
      <w:pPr>
        <w:numPr>
          <w:ilvl w:val="1"/>
          <w:numId w:val="1013"/>
        </w:numPr>
        <w:pStyle w:val="Compact"/>
      </w:pPr>
      <w:r>
        <w:t xml:space="preserve">Design for disassembly and repairability to extend product lifespan and maximize the value of materials.</w:t>
      </w:r>
    </w:p>
    <w:bookmarkEnd w:id="40"/>
    <w:bookmarkStart w:id="41" w:name="reliability-statement"/>
    <w:p>
      <w:pPr>
        <w:pStyle w:val="Heading3"/>
      </w:pPr>
      <w:r>
        <w:t xml:space="preserve">5.3. Reliability Statement</w:t>
      </w:r>
    </w:p>
    <w:p>
      <w:pPr>
        <w:pStyle w:val="FirstParagraph"/>
      </w:pPr>
      <w:r>
        <w:t xml:space="preserve">This report\'s calculations are based on the provided parameters and illustrative industry-average emission factors where specific primary data was not available for every parameter. The accuracy of the PCF is directly dependent on the quality and specificity of the input data. Continuous improvement in primary data collection, especially for energy consumption and supply chain logistics, will further enhance the reliability and precision of future assessments.</w:t>
      </w:r>
    </w:p>
    <w:p>
      <w:r>
        <w:pict>
          <v:rect style="width:0;height:1.5pt" o:hralign="center" o:hrstd="t" o:hr="t"/>
        </w:pict>
      </w:r>
    </w:p>
    <w:bookmarkEnd w:id="41"/>
    <w:bookmarkEnd w:id="42"/>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iuyeihmnre</dc:title>
  <dc:creator/>
  <dc:description>Detailed Product Carbon Footprint (PCF) analysis for iuyeihmnre, adhering to GHG Protocol standards and 2026 LSR updates, prepared by Senior Sustainability Consultant dewneqouie for kqkspvqpof.</dc:description>
  <dc:language>en</dc:language>
  <cp:keywords/>
  <dcterms:created xsi:type="dcterms:W3CDTF">2026-07-15T06:28:13Z</dcterms:created>
  <dcterms:modified xsi:type="dcterms:W3CDTF">2026-07-15T06:28:13Z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