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iupihfwrkt</w:t>
      </w:r>
      <w:r>
        <w:t xml:space="preserve"> </w:t>
      </w:r>
      <w:r>
        <w:t xml:space="preserve">-</w:t>
      </w:r>
      <w:r>
        <w:t xml:space="preserve"> </w:t>
      </w:r>
      <w:r>
        <w:t xml:space="preserve">hxxkvxjdwf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hxxkvxjdwf</w:t>
      </w:r>
    </w:p>
    <w:p>
      <w:pPr>
        <w:pStyle w:val="BodyText"/>
      </w:pPr>
      <w:r>
        <w:t xml:space="preserve">Product: iupihfwrkt</w:t>
      </w:r>
    </w:p>
    <w:p>
      <w:pPr>
        <w:pStyle w:val="BodyText"/>
      </w:pPr>
      <w:r>
        <w:t xml:space="preserve">Protocol Data (Accounting Standard): GHG Protocol</w:t>
      </w:r>
    </w:p>
    <w:p>
      <w:pPr>
        <w:pStyle w:val="BodyText"/>
      </w:pPr>
      <w:r>
        <w:t xml:space="preserve">Senior Sustainability Consultant: pwskflfjph</w:t>
      </w:r>
    </w:p>
    <w:p>
      <w:pPr>
        <w:pStyle w:val="BodyText"/>
      </w:pPr>
      <w:r>
        <w:t xml:space="preserve">Generated Date: May 21, 2026</w:t>
      </w:r>
    </w:p>
    <w:p>
      <w:pPr>
        <w:pStyle w:val="BodyText"/>
      </w:pPr>
      <w:r>
        <w:t xml:space="preserve">Disclaimer: This report is generated based on available data and industry standards. While every effort has been made to ensure accuracy, the actual environmental impact may vary depending on real-world conditions and data availability.</w:t>
      </w:r>
    </w:p>
    <w:bookmarkEnd w:id="20"/>
    <w:bookmarkStart w:id="21" w:name="Xb3dcb595507e721f8e19b71cc537d9ead0a921e"/>
    <w:p>
      <w:pPr>
        <w:pStyle w:val="Heading1"/>
      </w:pPr>
      <w:r>
        <w:t xml:space="preserve">Product Carbon Footprint Analysis Report: iupihfwrkt</w:t>
      </w:r>
    </w:p>
    <w:p>
      <w:pPr>
        <w:pStyle w:val="FirstParagraph"/>
      </w:pPr>
      <w:r>
        <w:rPr>
          <w:bCs/>
          <w:b/>
        </w:rPr>
        <w:t xml:space="preserve">Generated Date:</w:t>
      </w:r>
      <w:r>
        <w:t xml:space="preserve"> </w:t>
      </w:r>
      <w:r>
        <w:t xml:space="preserve">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iupihfwrkt</w:t>
      </w:r>
      <w:r>
        <w:t xml:space="preserve"> </w:t>
      </w:r>
      <w:r>
        <w:t xml:space="preserve">manufactured by</w:t>
      </w:r>
      <w:r>
        <w:t xml:space="preserve"> </w:t>
      </w:r>
      <w:r>
        <w:rPr>
          <w:bCs/>
          <w:b/>
        </w:rPr>
        <w:t xml:space="preserve">hxxkvxjdwf</w:t>
      </w:r>
      <w:r>
        <w:t xml:space="preserve">. The analysis, conducted by</w:t>
      </w:r>
      <w:r>
        <w:t xml:space="preserve"> </w:t>
      </w:r>
      <w:r>
        <w:rPr>
          <w:bCs/>
          <w:b/>
        </w:rPr>
        <w:t xml:space="preserve">pwskflfjph</w:t>
      </w:r>
      <w:r>
        <w:t xml:space="preserve">, Senior Sustainability Consultant, adheres strictly to the GHG Protocol. The assessment covers the entire lifecycle from raw material extraction (cradle) to the factory gate (system boundary: factory_gate), including an extended evaluation of the use phase and end-of-life scenarios. Special attention has been given to incorporating the 2026 updates for the Land Sector and Removals (LSR) Standard and achieving at least 95% coverage for Scope 3 emissions. This analysis identifies key emission hotspots and provides a baseline for future decarbonization efforts.</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scope of this Product Carbon Footprint (PCF) analysis is defined as follows:</w:t>
      </w:r>
    </w:p>
    <w:p>
      <w:pPr>
        <w:numPr>
          <w:ilvl w:val="0"/>
          <w:numId w:val="1001"/>
        </w:numPr>
        <w:pStyle w:val="Compact"/>
      </w:pPr>
      <w:r>
        <w:rPr>
          <w:bCs/>
          <w:b/>
        </w:rPr>
        <w:t xml:space="preserve">Functional Unit:</w:t>
      </w:r>
      <w:r>
        <w:t xml:space="preserve"> </w:t>
      </w:r>
      <w:r>
        <w:t xml:space="preserve">1.0 unit of iupihfwrkt. This serves as the reference unit to which all inputs and outputs are normalized, ensuring comparability.</w:t>
      </w:r>
    </w:p>
    <w:p>
      <w:pPr>
        <w:numPr>
          <w:ilvl w:val="0"/>
          <w:numId w:val="1001"/>
        </w:numPr>
        <w:pStyle w:val="Compact"/>
      </w:pPr>
      <w:r>
        <w:rPr>
          <w:bCs/>
          <w:b/>
        </w:rPr>
        <w:t xml:space="preserve">System Boundary:</w:t>
      </w:r>
      <w:r>
        <w:t xml:space="preserve"> </w:t>
      </w:r>
      <w:r>
        <w:t xml:space="preserve">The assessment follows a "factory_gate" (Cradle-to-Gate) approach, encompassing all emissions from raw material acquisition, manufacturing of materials, transportation to the production facility, and the manufacturing process of the product itself up to the point it leaves the factory. Additionally, for a comprehensive understanding of the product\'s environmental impact, the use phase and end-of-life (EoL) scenarios have been evaluated, extending beyond the strict factory gate boundary.</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indicating that a significant portion of upstream materials and processes are sourced from or take place in Europe.</w:t>
      </w:r>
    </w:p>
    <w:p>
      <w:pPr>
        <w:numPr>
          <w:ilvl w:val="0"/>
          <w:numId w:val="1001"/>
        </w:numPr>
        <w:pStyle w:val="Compact"/>
      </w:pPr>
      <w:r>
        <w:rPr>
          <w:bCs/>
          <w:b/>
        </w:rPr>
        <w:t xml:space="preserve">Accounting Standard:</w:t>
      </w:r>
      <w:r>
        <w:t xml:space="preserve"> </w:t>
      </w:r>
      <w:r>
        <w:t xml:space="preserve">The analysis strictly adheres to the Greenhouse Gas (GHG) Protocol, specifically the Product Standard, while aligning corporate-level categorization with the Corporate Standard for Scope 1, Scope 2, and Scope 3 emissions.</w:t>
      </w:r>
    </w:p>
    <w:p>
      <w:pPr>
        <w:numPr>
          <w:ilvl w:val="0"/>
          <w:numId w:val="1001"/>
        </w:numPr>
        <w:pStyle w:val="Compact"/>
      </w:pPr>
      <w:r>
        <w:rPr>
          <w:bCs/>
          <w:b/>
        </w:rPr>
        <w:t xml:space="preserve">Allocation:</w:t>
      </w:r>
      <w:r>
        <w:t xml:space="preserve"> </w:t>
      </w:r>
      <w:r>
        <w:t xml:space="preserve">Emissions are allocated directly to the functional unit based on mass and energy inputs. Co-product and recycling allocations follow GHG Protocol guidelines, where applicable.</w:t>
      </w:r>
    </w:p>
    <w:p>
      <w:r>
        <w:pict>
          <v:rect style="width:0;height:1.5pt" o:hralign="center" o:hrstd="t" o:hr="t"/>
        </w:pict>
      </w:r>
    </w:p>
    <w:bookmarkEnd w:id="23"/>
    <w:bookmarkStart w:id="29" w:name="X07cf0ea829f60a4f8fa47c00f72a11793fbe483"/>
    <w:p>
      <w:pPr>
        <w:pStyle w:val="Heading2"/>
      </w:pPr>
      <w:r>
        <w:t xml:space="preserve">2. Lifecycle Mapping (LCI Inventory Stages) &amp; 3. Data Collection</w:t>
      </w:r>
    </w:p>
    <w:p>
      <w:pPr>
        <w:pStyle w:val="FirstParagraph"/>
      </w:pPr>
      <w:r>
        <w:t xml:space="preserve">The lifecycle of</w:t>
      </w:r>
      <w:r>
        <w:t xml:space="preserve"> </w:t>
      </w:r>
      <w:r>
        <w:rPr>
          <w:bCs/>
          <w:b/>
        </w:rPr>
        <w:t xml:space="preserve">iupihfwrkt</w:t>
      </w:r>
      <w:r>
        <w:t xml:space="preserve"> </w:t>
      </w:r>
      <w:r>
        <w:t xml:space="preserve">has been mapped to identify all relevant stages contributing to its carbon footprint. Data collection involved utilizing primary data where available (e.g., provided BOM, energy usage) and secondary data from industry-standard emission factor databases for generic processes and transport.</w:t>
      </w:r>
    </w:p>
    <w:bookmarkStart w:id="24" w:name="Xa8538fdf3f47a43e8b9ae05c8256fc07606d9f0"/>
    <w:p>
      <w:pPr>
        <w:pStyle w:val="Heading3"/>
      </w:pPr>
      <w:r>
        <w:t xml:space="preserve">Detailed Bill of Materials (BOM) - Primary Data (Scope 3 - Upstream)</w:t>
      </w:r>
    </w:p>
    <w:p>
      <w:pPr>
        <w:pStyle w:val="FirstParagraph"/>
      </w:pPr>
      <w:r>
        <w:t xml:space="preserve">The following Bill of Materials (BOM) for</w:t>
      </w:r>
      <w:r>
        <w:t xml:space="preserve"> </w:t>
      </w:r>
      <w:r>
        <w:rPr>
          <w:bCs/>
          <w:b/>
        </w:rPr>
        <w:t xml:space="preserve">iupihfwrkt</w:t>
      </w:r>
      <w:r>
        <w:t xml:space="preserve"> </w:t>
      </w:r>
      <w:r>
        <w:t xml:space="preserve">was provided and used for high-accuracy material impact calculation. The \'Total Carbon\' values provided for each item are directly incorporated into the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100</w:t>
            </w:r>
          </w:p>
        </w:tc>
        <w:tc>
          <w:tcPr/>
          <w:p>
            <w:pPr>
              <w:pStyle w:val="Compact"/>
              <w:jc w:val="left"/>
            </w:pPr>
            <w:r>
              <w:t xml:space="preserve">kg</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2</w:t>
            </w:r>
          </w:p>
        </w:tc>
        <w:tc>
          <w:tcPr/>
          <w:p>
            <w:pPr>
              <w:pStyle w:val="Compact"/>
              <w:jc w:val="left"/>
            </w:pPr>
            <w:r>
              <w:t xml:space="preserve">Plastic</w:t>
            </w:r>
          </w:p>
        </w:tc>
        <w:tc>
          <w:tcPr/>
          <w:p>
            <w:pPr>
              <w:pStyle w:val="Compact"/>
              <w:jc w:val="left"/>
            </w:pPr>
            <w:r>
              <w:t xml:space="preserve">Polymers</w:t>
            </w:r>
          </w:p>
        </w:tc>
        <w:tc>
          <w:tcPr/>
          <w:p>
            <w:pPr>
              <w:pStyle w:val="Compact"/>
              <w:jc w:val="left"/>
            </w:pPr>
            <w:r>
              <w:t xml:space="preserve">Molding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1.5</w:t>
            </w:r>
          </w:p>
        </w:tc>
        <w:tc>
          <w:tcPr/>
          <w:p>
            <w:pPr>
              <w:pStyle w:val="Compact"/>
              <w:jc w:val="left"/>
            </w:pPr>
            <w:r>
              <w:t xml:space="preserve">75</w:t>
            </w:r>
          </w:p>
        </w:tc>
      </w:tr>
      <w:tr>
        <w:tc>
          <w:tcPr/>
          <w:p>
            <w:pPr>
              <w:pStyle w:val="Compact"/>
              <w:jc w:val="left"/>
            </w:pPr>
            <w:r>
              <w:t xml:space="preserve">3</w:t>
            </w:r>
          </w:p>
        </w:tc>
        <w:tc>
          <w:tcPr/>
          <w:p>
            <w:pPr>
              <w:pStyle w:val="Compact"/>
              <w:jc w:val="left"/>
            </w:pPr>
            <w:r>
              <w:t xml:space="preserve">Silicon</w:t>
            </w:r>
          </w:p>
        </w:tc>
        <w:tc>
          <w:tcPr/>
          <w:p>
            <w:pPr>
              <w:pStyle w:val="Compact"/>
              <w:jc w:val="left"/>
            </w:pPr>
            <w:r>
              <w:t xml:space="preserve">Semiconductors</w:t>
            </w:r>
          </w:p>
        </w:tc>
        <w:tc>
          <w:tcPr/>
          <w:p>
            <w:pPr>
              <w:pStyle w:val="Compact"/>
              <w:jc w:val="left"/>
            </w:pPr>
            <w:r>
              <w:t xml:space="preserve">Fabrication</w:t>
            </w:r>
          </w:p>
        </w:tc>
        <w:tc>
          <w:tcPr/>
          <w:p>
            <w:pPr>
              <w:pStyle w:val="Compact"/>
              <w:jc w:val="left"/>
            </w:pPr>
            <w:r>
              <w:t xml:space="preserve">10</w:t>
            </w:r>
          </w:p>
        </w:tc>
        <w:tc>
          <w:tcPr/>
          <w:p>
            <w:pPr>
              <w:pStyle w:val="Compact"/>
              <w:jc w:val="left"/>
            </w:pPr>
            <w:r>
              <w:t xml:space="preserve">kg</w:t>
            </w:r>
          </w:p>
        </w:tc>
        <w:tc>
          <w:tcPr/>
          <w:p>
            <w:pPr>
              <w:pStyle w:val="Compact"/>
              <w:jc w:val="left"/>
            </w:pPr>
            <w:r>
              <w:t xml:space="preserve">5.0</w:t>
            </w:r>
          </w:p>
        </w:tc>
        <w:tc>
          <w:tcPr/>
          <w:p>
            <w:pPr>
              <w:pStyle w:val="Compact"/>
              <w:jc w:val="left"/>
            </w:pPr>
            <w:r>
              <w:t xml:space="preserve">50</w:t>
            </w:r>
          </w:p>
        </w:tc>
      </w:tr>
    </w:tbl>
    <w:p>
      <w:pPr>
        <w:pStyle w:val="BodyText"/>
      </w:pPr>
      <w:r>
        <w:rPr>
          <w:bCs/>
          <w:b/>
        </w:rPr>
        <w:t xml:space="preserve">Total Material Carbon (Scope 3 - Upstream):</w:t>
      </w:r>
      <w:r>
        <w:t xml:space="preserve"> </w:t>
      </w:r>
      <w:r>
        <w:t xml:space="preserve">325.0 kgCO2e</w:t>
      </w:r>
    </w:p>
    <w:bookmarkEnd w:id="24"/>
    <w:bookmarkStart w:id="25" w:name="Xcfed7217ce123b41a3b1c924d6071c676597652"/>
    <w:p>
      <w:pPr>
        <w:pStyle w:val="Heading3"/>
      </w:pPr>
      <w:r>
        <w:t xml:space="preserve">Production Energy Inputs - Primary Data (Scope 2)</w:t>
      </w:r>
    </w:p>
    <w:p>
      <w:pPr>
        <w:numPr>
          <w:ilvl w:val="0"/>
          <w:numId w:val="1003"/>
        </w:numPr>
        <w:pStyle w:val="Compact"/>
      </w:pPr>
      <w:r>
        <w:rPr>
          <w:bCs/>
          <w:b/>
        </w:rPr>
        <w:t xml:space="preserve">Energy Intensity (kWh/unit):</w:t>
      </w:r>
      <w:r>
        <w:t xml:space="preserve"> </w:t>
      </w:r>
      <w:r>
        <w:t xml:space="preserve">mlornqqznr = 20 kWh/unit</w:t>
      </w:r>
    </w:p>
    <w:p>
      <w:pPr>
        <w:numPr>
          <w:ilvl w:val="0"/>
          <w:numId w:val="1003"/>
        </w:numPr>
        <w:pStyle w:val="Compact"/>
      </w:pPr>
      <w:r>
        <w:rPr>
          <w:bCs/>
          <w:b/>
        </w:rPr>
        <w:t xml:space="preserve">Renewable Energy Usage:</w:t>
      </w:r>
      <w:r>
        <w:t xml:space="preserve"> </w:t>
      </w:r>
      <w:r>
        <w:t xml:space="preserve">hnqppnyxdj = 75%. This indicates that 75% of the purchased electricity for production comes from renewable sources, effectively reducing the grid mix emissions for that portion.</w:t>
      </w:r>
    </w:p>
    <w:p>
      <w:pPr>
        <w:numPr>
          <w:ilvl w:val="0"/>
          <w:numId w:val="1003"/>
        </w:numPr>
        <w:pStyle w:val="Compact"/>
      </w:pPr>
      <w:r>
        <w:rPr>
          <w:bCs/>
          <w:b/>
        </w:rPr>
        <w:t xml:space="preserve">Electricity Grid Emission Factor (China, 2023):</w:t>
      </w:r>
      <w:r>
        <w:t xml:space="preserve"> </w:t>
      </w:r>
      <w:r>
        <w:t xml:space="preserve">0.6205 kgCO2e/kWh (national average).</w:t>
      </w:r>
    </w:p>
    <w:bookmarkEnd w:id="25"/>
    <w:bookmarkStart w:id="26" w:name="X9386f3bb4829ac1a6fd95db7905c328cd6f3530"/>
    <w:p>
      <w:pPr>
        <w:pStyle w:val="Heading3"/>
      </w:pPr>
      <w:r>
        <w:t xml:space="preserve">Logistics Data - Primary &amp; Secondary Data (Scope 3 - Upstream &amp; Downstream)</w:t>
      </w:r>
    </w:p>
    <w:p>
      <w:pPr>
        <w:numPr>
          <w:ilvl w:val="0"/>
          <w:numId w:val="1004"/>
        </w:numPr>
        <w:pStyle w:val="Compact"/>
      </w:pPr>
      <w:r>
        <w:rPr>
          <w:bCs/>
          <w:b/>
        </w:rPr>
        <w:t xml:space="preserve">Main Transport Mode:</w:t>
      </w:r>
      <w:r>
        <w:t xml:space="preserve"> </w:t>
      </w:r>
      <w:r>
        <w:t xml:space="preserve">Select Mode. For calculation, this is assumed to be Road Freight (Heavy Duty Truck, Diesel) for intra-continental movement and Ocean Freight for intercontinental movement, acknowledging the placeholder nature of "Select Mode."</w:t>
      </w:r>
    </w:p>
    <w:p>
      <w:pPr>
        <w:numPr>
          <w:ilvl w:val="1"/>
          <w:numId w:val="1005"/>
        </w:numPr>
        <w:pStyle w:val="Compact"/>
      </w:pPr>
      <w:r>
        <w:rPr>
          <w:bCs/>
          <w:b/>
        </w:rPr>
        <w:t xml:space="preserve">Assumed Road Freight Emission Factor (China/Europe):</w:t>
      </w:r>
      <w:r>
        <w:t xml:space="preserve"> </w:t>
      </w:r>
      <w:r>
        <w:t xml:space="preserve">0.15 kgCO2e/tkm (generic heavy-duty truck).</w:t>
      </w:r>
    </w:p>
    <w:p>
      <w:pPr>
        <w:numPr>
          <w:ilvl w:val="1"/>
          <w:numId w:val="1005"/>
        </w:numPr>
        <w:pStyle w:val="Compact"/>
      </w:pPr>
      <w:r>
        <w:rPr>
          <w:bCs/>
          <w:b/>
        </w:rPr>
        <w:t xml:space="preserve">Assumed Ocean Freight Emission Factor (Generic):</w:t>
      </w:r>
      <w:r>
        <w:t xml:space="preserve"> </w:t>
      </w:r>
      <w:r>
        <w:t xml:space="preserve">0.01 kgCO2e/tkm (for bulk cargo, acknowledging lack of specific vessel type).</w:t>
      </w:r>
    </w:p>
    <w:p>
      <w:pPr>
        <w:numPr>
          <w:ilvl w:val="1"/>
          <w:numId w:val="1005"/>
        </w:numPr>
        <w:pStyle w:val="Compact"/>
      </w:pPr>
      <w:r>
        <w:rPr>
          <w:bCs/>
          <w:b/>
        </w:rPr>
        <w:t xml:space="preserve">Transport Distance (Main):</w:t>
      </w:r>
      <w:r>
        <w:t xml:space="preserve"> </w:t>
      </w:r>
      <w:r>
        <w:t xml:space="preserve">mzjdimqykw = 5000 km. This distance will be used for intercontinental transport, with an assumed product weight of 160 kg (sum of BOM materials). Therefore, 160 kg * 5000 km = 800 tkm.</w:t>
      </w:r>
    </w:p>
    <w:p>
      <w:pPr>
        <w:numPr>
          <w:ilvl w:val="0"/>
          <w:numId w:val="1004"/>
        </w:numPr>
        <w:pStyle w:val="Compact"/>
      </w:pPr>
      <w:r>
        <w:rPr>
          <w:bCs/>
          <w:b/>
        </w:rPr>
        <w:t xml:space="preserve">Last-Mile Delivery Channel:</w:t>
      </w:r>
      <w:r>
        <w:t xml:space="preserve"> </w:t>
      </w:r>
      <w:r>
        <w:t xml:space="preserve">Delivery Type. For calculation, this is assumed to be a Light-Duty Vehicle (Gasoline).</w:t>
      </w:r>
    </w:p>
    <w:p>
      <w:pPr>
        <w:numPr>
          <w:ilvl w:val="1"/>
          <w:numId w:val="1006"/>
        </w:numPr>
        <w:pStyle w:val="Compact"/>
      </w:pPr>
      <w:r>
        <w:rPr>
          <w:bCs/>
          <w:b/>
        </w:rPr>
        <w:t xml:space="preserve">Assumed Light-Duty Vehicle Emission Factor (China):</w:t>
      </w:r>
      <w:r>
        <w:t xml:space="preserve"> </w:t>
      </w:r>
      <w:r>
        <w:t xml:space="preserve">0.2 kgCO2e/km (200 g/km).</w:t>
      </w:r>
    </w:p>
    <w:p>
      <w:pPr>
        <w:numPr>
          <w:ilvl w:val="1"/>
          <w:numId w:val="1006"/>
        </w:numPr>
        <w:pStyle w:val="Compact"/>
      </w:pPr>
      <w:r>
        <w:rPr>
          <w:bCs/>
          <w:b/>
        </w:rPr>
        <w:t xml:space="preserve">Assumed Last-Mile Distance:</w:t>
      </w:r>
      <w:r>
        <w:t xml:space="preserve"> </w:t>
      </w:r>
      <w:r>
        <w:t xml:space="preserve">100 km (typical last-mile distance for a single unit).</w:t>
      </w:r>
    </w:p>
    <w:bookmarkEnd w:id="26"/>
    <w:bookmarkStart w:id="27" w:name="X387b66a18a2752b88f59ba2d3dfd4fac54db392"/>
    <w:p>
      <w:pPr>
        <w:pStyle w:val="Heading3"/>
      </w:pPr>
      <w:r>
        <w:t xml:space="preserve">Use Phase Data - Primary Data (Scope 3 - Downstream)</w:t>
      </w:r>
    </w:p>
    <w:p>
      <w:pPr>
        <w:numPr>
          <w:ilvl w:val="0"/>
          <w:numId w:val="1007"/>
        </w:numPr>
        <w:pStyle w:val="Compact"/>
      </w:pPr>
      <w:r>
        <w:rPr>
          <w:bCs/>
          <w:b/>
        </w:rPr>
        <w:t xml:space="preserve">Product Lifespan:</w:t>
      </w:r>
      <w:r>
        <w:t xml:space="preserve"> </w:t>
      </w:r>
      <w:r>
        <w:t xml:space="preserve">yyljqpqnqj = 5 years.</w:t>
      </w:r>
    </w:p>
    <w:p>
      <w:pPr>
        <w:numPr>
          <w:ilvl w:val="0"/>
          <w:numId w:val="1007"/>
        </w:numPr>
        <w:pStyle w:val="Compact"/>
      </w:pPr>
      <w:r>
        <w:rPr>
          <w:bCs/>
          <w:b/>
        </w:rPr>
        <w:t xml:space="preserve">Energy Consumption in Use:</w:t>
      </w:r>
      <w:r>
        <w:t xml:space="preserve"> </w:t>
      </w:r>
      <w:r>
        <w:t xml:space="preserve">hlpfnzydst = 10 kWh/year.</w:t>
      </w:r>
    </w:p>
    <w:p>
      <w:pPr>
        <w:numPr>
          <w:ilvl w:val="0"/>
          <w:numId w:val="1007"/>
        </w:numPr>
        <w:pStyle w:val="Compact"/>
      </w:pPr>
      <w:r>
        <w:rPr>
          <w:bCs/>
          <w:b/>
        </w:rPr>
        <w:t xml:space="preserve">Electricity Grid Emission Factor (China, 2023):</w:t>
      </w:r>
      <w:r>
        <w:t xml:space="preserve"> </w:t>
      </w:r>
      <w:r>
        <w:t xml:space="preserve">0.6205 kgCO2e/kWh (as product is likely used in the final production country or a region with similar grid mix).</w:t>
      </w:r>
    </w:p>
    <w:bookmarkEnd w:id="27"/>
    <w:bookmarkStart w:id="28" w:name="Xa38e4a29ff339a6a75b2af71468a4859c59a734"/>
    <w:p>
      <w:pPr>
        <w:pStyle w:val="Heading3"/>
      </w:pPr>
      <w:r>
        <w:t xml:space="preserve">End-of-Life (EoL) Data - Primary Data (Scope 3 - Downstream)</w:t>
      </w:r>
    </w:p>
    <w:p>
      <w:pPr>
        <w:numPr>
          <w:ilvl w:val="0"/>
          <w:numId w:val="1008"/>
        </w:numPr>
        <w:pStyle w:val="Compact"/>
      </w:pPr>
      <w:r>
        <w:rPr>
          <w:bCs/>
          <w:b/>
        </w:rPr>
        <w:t xml:space="preserve">Recyclability Percentage:</w:t>
      </w:r>
      <w:r>
        <w:t xml:space="preserve"> </w:t>
      </w:r>
      <w:r>
        <w:t xml:space="preserve">srzhymmjrp = 80%. Recycling helps reduce greenhouse gas emissions by saving energy during manufacturing and reducing landfill methane.</w:t>
      </w:r>
    </w:p>
    <w:p>
      <w:pPr>
        <w:numPr>
          <w:ilvl w:val="0"/>
          <w:numId w:val="1008"/>
        </w:numPr>
        <w:pStyle w:val="Compact"/>
      </w:pPr>
      <w:r>
        <w:rPr>
          <w:bCs/>
          <w:b/>
        </w:rPr>
        <w:t xml:space="preserve">Circular/Take-back Programs:</w:t>
      </w:r>
      <w:r>
        <w:t xml:space="preserve"> </w:t>
      </w:r>
      <w:r>
        <w:t xml:space="preserve">shuvxsffln = "Company-wide take-back program for product components." The presence of such programs supports circular economy principles, which aim to keep resources in use and reduce virgin material extraction, leading to lower overall emissions.</w:t>
      </w:r>
    </w:p>
    <w:p>
      <w:r>
        <w:pict>
          <v:rect style="width:0;height:1.5pt" o:hralign="center" o:hrstd="t" o:hr="t"/>
        </w:pict>
      </w:r>
    </w:p>
    <w:bookmarkEnd w:id="28"/>
    <w:bookmarkEnd w:id="29"/>
    <w:bookmarkStart w:id="36" w:name="Xdd1c2ba429305467bad58a0828410d9d0fce25c"/>
    <w:p>
      <w:pPr>
        <w:pStyle w:val="Heading2"/>
      </w:pPr>
      <w:r>
        <w:t xml:space="preserve">4. Emissions Calculation (Activity * Emission Factor = CO2e)</w:t>
      </w:r>
    </w:p>
    <w:p>
      <w:pPr>
        <w:pStyle w:val="FirstParagraph"/>
      </w:pPr>
      <w:r>
        <w:t xml:space="preserve">Emissions are categorized according to the GHG Protocol\'s three scopes.</w:t>
      </w:r>
    </w:p>
    <w:bookmarkStart w:id="30" w:name="scope-1-direct-emissions"/>
    <w:p>
      <w:pPr>
        <w:pStyle w:val="Heading3"/>
      </w:pPr>
      <w:r>
        <w:t xml:space="preserve">Scope 1: Direct Emissions</w:t>
      </w:r>
    </w:p>
    <w:p>
      <w:pPr>
        <w:pStyle w:val="FirstParagraph"/>
      </w:pPr>
      <w:r>
        <w:t xml:space="preserve">For a product carbon footprint with a "factory_gate" system boundary, Scope 1 emissions would typically include direct GHG emissions from sources owned or controlled by</w:t>
      </w:r>
      <w:r>
        <w:t xml:space="preserve"> </w:t>
      </w:r>
      <w:r>
        <w:rPr>
          <w:bCs/>
          <w:b/>
        </w:rPr>
        <w:t xml:space="preserve">hxxkvxjdwf</w:t>
      </w:r>
      <w:r>
        <w:t xml:space="preserve"> </w:t>
      </w:r>
      <w:r>
        <w:t xml:space="preserve">at the manufacturing facility (e.g., fuel combustion in boilers, company-owned vehicles on site). As no specific data for direct fuel consumption or process emissions at the production site were provided, this analysis assumes negligible direct operational emissions for the functional unit or that these are implicitly covered by material and energy inputs. In a full corporate inventory, these would be explicitly accounted for.</w:t>
      </w:r>
    </w:p>
    <w:p>
      <w:pPr>
        <w:pStyle w:val="BodyText"/>
      </w:pPr>
      <w:r>
        <w:rPr>
          <w:bCs/>
          <w:b/>
        </w:rPr>
        <w:t xml:space="preserve">Total Scope 1 Emissions: 0.0 kgCO2e (Assumed negligible/not provided for product-level direct operations)</w:t>
      </w:r>
    </w:p>
    <w:bookmarkEnd w:id="30"/>
    <w:bookmarkStart w:id="31" w:name="scope-2-purchased-energy-emissions"/>
    <w:p>
      <w:pPr>
        <w:pStyle w:val="Heading3"/>
      </w:pPr>
      <w:r>
        <w:t xml:space="preserve">Scope 2: Purchased Energy Emissions</w:t>
      </w:r>
    </w:p>
    <w:p>
      <w:pPr>
        <w:pStyle w:val="FirstParagraph"/>
      </w:pPr>
      <w:r>
        <w:t xml:space="preserve">Scope 2 emissions account for indirect GHG emissions from the generation of purchased electricity, heat, or steam.</w:t>
      </w:r>
    </w:p>
    <w:p>
      <w:pPr>
        <w:numPr>
          <w:ilvl w:val="0"/>
          <w:numId w:val="1009"/>
        </w:numPr>
        <w:pStyle w:val="Compact"/>
      </w:pPr>
      <w:r>
        <w:t xml:space="preserve">Energy Intensity: 20 kWh/unit</w:t>
      </w:r>
    </w:p>
    <w:p>
      <w:pPr>
        <w:numPr>
          <w:ilvl w:val="0"/>
          <w:numId w:val="1009"/>
        </w:numPr>
        <w:pStyle w:val="Compact"/>
      </w:pPr>
      <w:r>
        <w:t xml:space="preserve">Renewable Energy Usage: 75%</w:t>
      </w:r>
    </w:p>
    <w:p>
      <w:pPr>
        <w:numPr>
          <w:ilvl w:val="0"/>
          <w:numId w:val="1009"/>
        </w:numPr>
        <w:pStyle w:val="Compact"/>
      </w:pPr>
      <w:r>
        <w:t xml:space="preserve">Non-renewable energy portion: 100% - 75% = 25%</w:t>
      </w:r>
    </w:p>
    <w:p>
      <w:pPr>
        <w:numPr>
          <w:ilvl w:val="0"/>
          <w:numId w:val="1009"/>
        </w:numPr>
        <w:pStyle w:val="Compact"/>
      </w:pPr>
      <w:r>
        <w:t xml:space="preserve">Electricity Grid Emission Factor (China): 0.6205 kgCO2e/kWh</w:t>
      </w:r>
    </w:p>
    <w:p>
      <w:pPr>
        <w:numPr>
          <w:ilvl w:val="0"/>
          <w:numId w:val="1009"/>
        </w:numPr>
        <w:pStyle w:val="Compact"/>
      </w:pPr>
      <w:r>
        <w:t xml:space="preserve">Emissions from non-renewable portion = 20 kWh/unit * 25% * 0.6205 kgCO2e/kWh = 3.1025 kgCO2e/unit</w:t>
      </w:r>
    </w:p>
    <w:p>
      <w:pPr>
        <w:numPr>
          <w:ilvl w:val="0"/>
          <w:numId w:val="1009"/>
        </w:numPr>
        <w:pStyle w:val="Compact"/>
      </w:pPr>
      <w:r>
        <w:t xml:space="preserve">Emissions from renewable portion = 0 kgCO2e (assuming zero-emission renewable energy certificates are tracked and retired or direct purchase from renewable sources with zero upstream emissions).</w:t>
      </w:r>
    </w:p>
    <w:p>
      <w:pPr>
        <w:pStyle w:val="FirstParagraph"/>
      </w:pPr>
      <w:r>
        <w:rPr>
          <w:bCs/>
          <w:b/>
        </w:rPr>
        <w:t xml:space="preserve">Total Scope 2 Emissions: 3.10 kgCO2e/unit</w:t>
      </w:r>
    </w:p>
    <w:bookmarkEnd w:id="31"/>
    <w:bookmarkStart w:id="35" w:name="scope-3-value-chain-emissions"/>
    <w:p>
      <w:pPr>
        <w:pStyle w:val="Heading3"/>
      </w:pPr>
      <w:r>
        <w:t xml:space="preserve">Scope 3: Value Chain Emissions</w:t>
      </w:r>
    </w:p>
    <w:p>
      <w:pPr>
        <w:pStyle w:val="FirstParagraph"/>
      </w:pPr>
      <w:r>
        <w:t xml:space="preserve">Scope 3 emissions include all other indirect emissions that occur in the value chain of the reporting company, both upstream and downstream. The 2026 requirements emphasize achieving at least 95% coverage for Scope 3 emissions. This analysis aims to cover all relevant categories based on the provided parameters.</w:t>
      </w:r>
    </w:p>
    <w:bookmarkStart w:id="32" w:name="Xba9786f5421a5f0f091810362d2d3d13dec076f"/>
    <w:p>
      <w:pPr>
        <w:pStyle w:val="Heading4"/>
      </w:pPr>
      <w:r>
        <w:t xml:space="preserve">Upstream Emissions (Cradle-to-Gate components):</w:t>
      </w:r>
    </w:p>
    <w:p>
      <w:pPr>
        <w:numPr>
          <w:ilvl w:val="0"/>
          <w:numId w:val="1010"/>
        </w:numPr>
        <w:pStyle w:val="Compact"/>
      </w:pPr>
      <w:r>
        <w:rPr>
          <w:bCs/>
          <w:b/>
        </w:rPr>
        <w:t xml:space="preserve">Purchased Goods and Services (Materials - Category 1):</w:t>
      </w:r>
    </w:p>
    <w:p>
      <w:pPr>
        <w:numPr>
          <w:ilvl w:val="1"/>
          <w:numId w:val="1011"/>
        </w:numPr>
        <w:pStyle w:val="Compact"/>
      </w:pPr>
      <w:r>
        <w:t xml:space="preserve">Total Carbon from BOM: 325.0 kgCO2e (as provided directly in BOM)</w:t>
      </w:r>
    </w:p>
    <w:p>
      <w:pPr>
        <w:numPr>
          <w:ilvl w:val="0"/>
          <w:numId w:val="1010"/>
        </w:numPr>
        <w:pStyle w:val="Compact"/>
      </w:pPr>
      <w:r>
        <w:rPr>
          <w:bCs/>
          <w:b/>
        </w:rPr>
        <w:t xml:space="preserve">Upstream Transportation and Distribution (Category 4):</w:t>
      </w:r>
    </w:p>
    <w:p>
      <w:pPr>
        <w:numPr>
          <w:ilvl w:val="1"/>
          <w:numId w:val="1012"/>
        </w:numPr>
        <w:pStyle w:val="Compact"/>
      </w:pPr>
      <w:r>
        <w:t xml:space="preserve">Main Transport (Europe to China - assumed Road Freight/Ocean combination, calculated as primary road freight for simplicity and lack of specific mode data):</w:t>
      </w:r>
    </w:p>
    <w:p>
      <w:pPr>
        <w:numPr>
          <w:ilvl w:val="2"/>
          <w:numId w:val="1013"/>
        </w:numPr>
        <w:pStyle w:val="Compact"/>
      </w:pPr>
      <w:r>
        <w:t xml:space="preserve">Product Weight: 160 kg (sum of BOM items)</w:t>
      </w:r>
    </w:p>
    <w:p>
      <w:pPr>
        <w:numPr>
          <w:ilvl w:val="2"/>
          <w:numId w:val="1013"/>
        </w:numPr>
        <w:pStyle w:val="Compact"/>
      </w:pPr>
      <w:r>
        <w:t xml:space="preserve">Distance: 5000 km</w:t>
      </w:r>
    </w:p>
    <w:p>
      <w:pPr>
        <w:numPr>
          <w:ilvl w:val="2"/>
          <w:numId w:val="1013"/>
        </w:numPr>
        <w:pStyle w:val="Compact"/>
      </w:pPr>
      <w:r>
        <w:t xml:space="preserve">Emission Factor: 0.15 kgCO2e/tkm (Road Freight)</w:t>
      </w:r>
    </w:p>
    <w:p>
      <w:pPr>
        <w:numPr>
          <w:ilvl w:val="2"/>
          <w:numId w:val="1013"/>
        </w:numPr>
        <w:pStyle w:val="Compact"/>
      </w:pPr>
      <w:r>
        <w:t xml:space="preserve">Emissions = (160 kg / 1000 kg/tonne) * 5000 km * 0.15 kgCO2e/tkm = 0.160 tonne * 5000 km * 0.15 kgCO2e/tkm = 120.0 kgCO2e</w:t>
      </w:r>
    </w:p>
    <w:p>
      <w:pPr>
        <w:pStyle w:val="FirstParagraph"/>
      </w:pPr>
      <w:r>
        <w:rPr>
          <w:bCs/>
          <w:b/>
        </w:rPr>
        <w:t xml:space="preserve">Total Upstream Scope 3 Emissions: 325.0 kgCO2e (Materials) + 120.0 kgCO2e (Upstream Transport) = 445.0 kgCO2e/unit</w:t>
      </w:r>
    </w:p>
    <w:bookmarkEnd w:id="32"/>
    <w:bookmarkStart w:id="33" w:name="Xfbbf2c2cc3f10312b5200665ed9cf2f9e64819d"/>
    <w:p>
      <w:pPr>
        <w:pStyle w:val="Heading4"/>
      </w:pPr>
      <w:r>
        <w:t xml:space="preserve">Downstream Emissions (Use Phase &amp; End-of-Life components):</w:t>
      </w:r>
    </w:p>
    <w:p>
      <w:pPr>
        <w:numPr>
          <w:ilvl w:val="0"/>
          <w:numId w:val="1014"/>
        </w:numPr>
        <w:pStyle w:val="Compact"/>
      </w:pPr>
      <w:r>
        <w:rPr>
          <w:bCs/>
          <w:b/>
        </w:rPr>
        <w:t xml:space="preserve">Use of Sold Products (Category 11):</w:t>
      </w:r>
    </w:p>
    <w:p>
      <w:pPr>
        <w:numPr>
          <w:ilvl w:val="1"/>
          <w:numId w:val="1015"/>
        </w:numPr>
        <w:pStyle w:val="Compact"/>
      </w:pPr>
      <w:r>
        <w:t xml:space="preserve">Product Lifespan: 5 years</w:t>
      </w:r>
    </w:p>
    <w:p>
      <w:pPr>
        <w:numPr>
          <w:ilvl w:val="1"/>
          <w:numId w:val="1015"/>
        </w:numPr>
        <w:pStyle w:val="Compact"/>
      </w:pPr>
      <w:r>
        <w:t xml:space="preserve">Energy Consumption in Use: 10 kWh/year</w:t>
      </w:r>
    </w:p>
    <w:p>
      <w:pPr>
        <w:numPr>
          <w:ilvl w:val="1"/>
          <w:numId w:val="1015"/>
        </w:numPr>
        <w:pStyle w:val="Compact"/>
      </w:pPr>
      <w:r>
        <w:t xml:space="preserve">Total Energy in Use = 10 kWh/year * 5 years = 50 kWh</w:t>
      </w:r>
    </w:p>
    <w:p>
      <w:pPr>
        <w:numPr>
          <w:ilvl w:val="1"/>
          <w:numId w:val="1015"/>
        </w:numPr>
        <w:pStyle w:val="Compact"/>
      </w:pPr>
      <w:r>
        <w:t xml:space="preserve">Electricity Grid Emission Factor (China): 0.6205 kgCO2e/kWh</w:t>
      </w:r>
    </w:p>
    <w:p>
      <w:pPr>
        <w:numPr>
          <w:ilvl w:val="1"/>
          <w:numId w:val="1015"/>
        </w:numPr>
        <w:pStyle w:val="Compact"/>
      </w:pPr>
      <w:r>
        <w:t xml:space="preserve">Emissions = 50 kWh * 0.6205 kgCO2e/kWh = 31.025 kgCO2e/unit</w:t>
      </w:r>
    </w:p>
    <w:p>
      <w:pPr>
        <w:numPr>
          <w:ilvl w:val="0"/>
          <w:numId w:val="1014"/>
        </w:numPr>
        <w:pStyle w:val="Compact"/>
      </w:pPr>
      <w:r>
        <w:rPr>
          <w:bCs/>
          <w:b/>
        </w:rPr>
        <w:t xml:space="preserve">Downstream Transportation and Distribution (Last-Mile - Category 9):</w:t>
      </w:r>
    </w:p>
    <w:p>
      <w:pPr>
        <w:numPr>
          <w:ilvl w:val="1"/>
          <w:numId w:val="1016"/>
        </w:numPr>
        <w:pStyle w:val="Compact"/>
      </w:pPr>
      <w:r>
        <w:t xml:space="preserve">Distance: 100 km</w:t>
      </w:r>
    </w:p>
    <w:p>
      <w:pPr>
        <w:numPr>
          <w:ilvl w:val="1"/>
          <w:numId w:val="1016"/>
        </w:numPr>
        <w:pStyle w:val="Compact"/>
      </w:pPr>
      <w:r>
        <w:t xml:space="preserve">Emission Factor (Light-Duty Vehicle, China): 0.2 kgCO2e/km</w:t>
      </w:r>
    </w:p>
    <w:p>
      <w:pPr>
        <w:numPr>
          <w:ilvl w:val="1"/>
          <w:numId w:val="1016"/>
        </w:numPr>
        <w:pStyle w:val="Compact"/>
      </w:pPr>
      <w:r>
        <w:t xml:space="preserve">Emissions = 100 km * 0.2 kgCO2e/km = 20.0 kgCO2e/unit</w:t>
      </w:r>
    </w:p>
    <w:p>
      <w:pPr>
        <w:numPr>
          <w:ilvl w:val="0"/>
          <w:numId w:val="1014"/>
        </w:numPr>
        <w:pStyle w:val="Compact"/>
      </w:pPr>
      <w:r>
        <w:rPr>
          <w:bCs/>
          <w:b/>
        </w:rPr>
        <w:t xml:space="preserve">End-of-Life Treatment of Sold Products (Category 12):</w:t>
      </w:r>
    </w:p>
    <w:p>
      <w:pPr>
        <w:numPr>
          <w:ilvl w:val="1"/>
          <w:numId w:val="1017"/>
        </w:numPr>
        <w:pStyle w:val="Compact"/>
      </w:pPr>
      <w:r>
        <w:t xml:space="preserve">Recyclability Percentage: 80%</w:t>
      </w:r>
    </w:p>
    <w:p>
      <w:pPr>
        <w:numPr>
          <w:ilvl w:val="1"/>
          <w:numId w:val="1017"/>
        </w:numPr>
        <w:pStyle w:val="Compact"/>
      </w:pPr>
      <w:r>
        <w:t xml:space="preserve">Assuming materials are predominantly recycled, emissions associated with waste disposal (e.g., landfilling, incineration) for the recyclable portion are avoided. Recycling generally requires less energy than producing new materials from virgin sources.</w:t>
      </w:r>
    </w:p>
    <w:p>
      <w:pPr>
        <w:numPr>
          <w:ilvl w:val="1"/>
          <w:numId w:val="1017"/>
        </w:numPr>
        <w:pStyle w:val="Compact"/>
      </w:pPr>
      <w:r>
        <w:t xml:space="preserve">For the 80% recyclable portion, a credit or avoidance of emissions from virgin material production would typically be applied. For simplification in this calculation, we\'ll consider a net neutral impact for the recycled portion (emissions from recycling process balanced by avoided virgin production emissions), and only account for the non-recyclable portion\'s disposal.</w:t>
      </w:r>
    </w:p>
    <w:p>
      <w:pPr>
        <w:numPr>
          <w:ilvl w:val="1"/>
          <w:numId w:val="1017"/>
        </w:numPr>
        <w:pStyle w:val="Compact"/>
      </w:pPr>
      <w:r>
        <w:t xml:space="preserve">Total Material Mass: 160 kg</w:t>
      </w:r>
    </w:p>
    <w:p>
      <w:pPr>
        <w:numPr>
          <w:ilvl w:val="1"/>
          <w:numId w:val="1017"/>
        </w:numPr>
        <w:pStyle w:val="Compact"/>
      </w:pPr>
      <w:r>
        <w:t xml:space="preserve">Non-Recyclable Mass: 160 kg * (1 - 0.80) = 32 kg</w:t>
      </w:r>
    </w:p>
    <w:p>
      <w:pPr>
        <w:numPr>
          <w:ilvl w:val="1"/>
          <w:numId w:val="1017"/>
        </w:numPr>
        <w:pStyle w:val="Compact"/>
      </w:pPr>
      <w:r>
        <w:t xml:space="preserve">Assumed disposal emission factor (e.g., landfilling): 0.1 kgCO2e/kg (generic estimate, can vary widely)</w:t>
      </w:r>
    </w:p>
    <w:p>
      <w:pPr>
        <w:numPr>
          <w:ilvl w:val="1"/>
          <w:numId w:val="1017"/>
        </w:numPr>
        <w:pStyle w:val="Compact"/>
      </w:pPr>
      <w:r>
        <w:t xml:space="preserve">Emissions = 32 kg * 0.1 kgCO2e/kg = 3.2 kgCO2e/unit</w:t>
      </w:r>
    </w:p>
    <w:p>
      <w:pPr>
        <w:numPr>
          <w:ilvl w:val="1"/>
          <w:numId w:val="1017"/>
        </w:numPr>
        <w:pStyle w:val="Compact"/>
      </w:pPr>
      <w:r>
        <w:t xml:space="preserve">Circular/Take-back Programs (shuvxsffln): "Company-wide take-back program for product components." Such programs reduce waste and virgin material demand, contributing to a lower carbon footprint in line with circular economy principles. While not explicitly quantifiable without detailed program data, it indicates a proactive approach to mitigating EoL impacts.</w:t>
      </w:r>
    </w:p>
    <w:p>
      <w:pPr>
        <w:pStyle w:val="FirstParagraph"/>
      </w:pPr>
      <w:r>
        <w:rPr>
          <w:bCs/>
          <w:b/>
        </w:rPr>
        <w:t xml:space="preserve">Total Downstream Scope 3 Emissions: 31.03 kgCO2e (Use Phase) + 20.0 kgCO2e (Last-Mile Transport) + 3.2 kgCO2e (EoL) = 54.23 kgCO2e/unit</w:t>
      </w:r>
    </w:p>
    <w:bookmarkEnd w:id="33"/>
    <w:bookmarkStart w:id="34" w:name="summary-of-emissions-by-scope"/>
    <w:p>
      <w:pPr>
        <w:pStyle w:val="Heading4"/>
      </w:pPr>
      <w:r>
        <w:t xml:space="preserve">Summary of Emissions by Scope:</w:t>
      </w:r>
    </w:p>
    <w:p>
      <w:pPr>
        <w:pStyle w:val="FirstParagraph"/>
      </w:pPr>
      <w:r>
        <w:rPr>
          <w:bCs/>
          <w:b/>
        </w:rPr>
        <w:t xml:space="preserve">Scope 1 Emissions:</w:t>
      </w:r>
      <w:r>
        <w:t xml:space="preserve"> </w:t>
      </w:r>
      <w:r>
        <w:t xml:space="preserve">0.0 kgCO2e/unit</w:t>
      </w:r>
    </w:p>
    <w:p>
      <w:pPr>
        <w:pStyle w:val="BodyText"/>
      </w:pPr>
      <w:r>
        <w:rPr>
          <w:bCs/>
          <w:b/>
        </w:rPr>
        <w:t xml:space="preserve">Scope 2 Emissions:</w:t>
      </w:r>
      <w:r>
        <w:t xml:space="preserve"> </w:t>
      </w:r>
      <w:r>
        <w:t xml:space="preserve">3.10 kgCO2e/unit</w:t>
      </w:r>
    </w:p>
    <w:p>
      <w:pPr>
        <w:pStyle w:val="BodyText"/>
      </w:pPr>
      <w:r>
        <w:rPr>
          <w:bCs/>
          <w:b/>
        </w:rPr>
        <w:t xml:space="preserve">Scope 3 Emissions (Upstream):</w:t>
      </w:r>
      <w:r>
        <w:t xml:space="preserve"> </w:t>
      </w:r>
      <w:r>
        <w:t xml:space="preserve">445.0 kgCO2e/unit</w:t>
      </w:r>
    </w:p>
    <w:p>
      <w:pPr>
        <w:pStyle w:val="BodyText"/>
      </w:pPr>
      <w:r>
        <w:rPr>
          <w:bCs/>
          <w:b/>
        </w:rPr>
        <w:t xml:space="preserve">Scope 3 Emissions (Downstream):</w:t>
      </w:r>
      <w:r>
        <w:t xml:space="preserve"> </w:t>
      </w:r>
      <w:r>
        <w:t xml:space="preserve">54.23 kgCO2e/unit</w:t>
      </w:r>
    </w:p>
    <w:p>
      <w:pPr>
        <w:pStyle w:val="BodyText"/>
      </w:pPr>
      <w:r>
        <w:rPr>
          <w:bCs/>
          <w:b/>
        </w:rPr>
        <w:t xml:space="preserve">TOTAL PRODUCT CARBON FOOTPRINT (PCF): 502.33 kgCO2e/unit</w:t>
      </w:r>
    </w:p>
    <w:p>
      <w:r>
        <w:pict>
          <v:rect style="width:0;height:1.5pt" o:hralign="center" o:hrstd="t" o:hr="t"/>
        </w:pict>
      </w:r>
    </w:p>
    <w:bookmarkEnd w:id="34"/>
    <w:bookmarkEnd w:id="35"/>
    <w:bookmarkEnd w:id="36"/>
    <w:bookmarkStart w:id="40" w:name="review-report"/>
    <w:p>
      <w:pPr>
        <w:pStyle w:val="Heading2"/>
      </w:pPr>
      <w:r>
        <w:t xml:space="preserve">5. Review &amp; Report</w:t>
      </w:r>
    </w:p>
    <w:bookmarkStart w:id="37" w:name="emission-hotspots"/>
    <w:p>
      <w:pPr>
        <w:pStyle w:val="Heading3"/>
      </w:pPr>
      <w:r>
        <w:t xml:space="preserve">Emission Hotspots</w:t>
      </w:r>
    </w:p>
    <w:p>
      <w:pPr>
        <w:pStyle w:val="FirstParagraph"/>
      </w:pPr>
      <w:r>
        <w:t xml:space="preserve">The primary emission hotspots for</w:t>
      </w:r>
      <w:r>
        <w:t xml:space="preserve"> </w:t>
      </w:r>
      <w:r>
        <w:rPr>
          <w:bCs/>
          <w:b/>
        </w:rPr>
        <w:t xml:space="preserve">iupihfwrkt</w:t>
      </w:r>
      <w:r>
        <w:t xml:space="preserve"> </w:t>
      </w:r>
      <w:r>
        <w:t xml:space="preserve">are:</w:t>
      </w:r>
    </w:p>
    <w:p>
      <w:pPr>
        <w:numPr>
          <w:ilvl w:val="0"/>
          <w:numId w:val="1018"/>
        </w:numPr>
        <w:pStyle w:val="Compact"/>
      </w:pPr>
      <w:r>
        <w:rPr>
          <w:bCs/>
          <w:b/>
        </w:rPr>
        <w:t xml:space="preserve">Materials (Scope 3 Upstream - Purchased Goods and Services):</w:t>
      </w:r>
      <w:r>
        <w:t xml:space="preserve"> </w:t>
      </w:r>
      <w:r>
        <w:t xml:space="preserve">Constituting the largest portion of the footprint at 325.0 kgCO2e, material acquisition and processing are the most significant contributors. This highlights the importance of sustainable sourcing and material efficiency.</w:t>
      </w:r>
    </w:p>
    <w:p>
      <w:pPr>
        <w:numPr>
          <w:ilvl w:val="0"/>
          <w:numId w:val="1018"/>
        </w:numPr>
        <w:pStyle w:val="Compact"/>
      </w:pPr>
      <w:r>
        <w:rPr>
          <w:bCs/>
          <w:b/>
        </w:rPr>
        <w:t xml:space="preserve">Upstream Transportation (Scope 3 Upstream):</w:t>
      </w:r>
      <w:r>
        <w:t xml:space="preserve"> </w:t>
      </w:r>
      <w:r>
        <w:t xml:space="preserve">Long-distance transport of materials (120.0 kgCO2e) is another significant factor, emphasizing the need for optimized logistics and potentially localized sourcing.</w:t>
      </w:r>
    </w:p>
    <w:p>
      <w:pPr>
        <w:numPr>
          <w:ilvl w:val="0"/>
          <w:numId w:val="1018"/>
        </w:numPr>
        <w:pStyle w:val="Compact"/>
      </w:pPr>
      <w:r>
        <w:rPr>
          <w:bCs/>
          <w:b/>
        </w:rPr>
        <w:t xml:space="preserve">Use Phase (Scope 3 Downstream - Use of Sold Products):</w:t>
      </w:r>
      <w:r>
        <w:t xml:space="preserve"> </w:t>
      </w:r>
      <w:r>
        <w:t xml:space="preserve">Energy consumption during the product\'s lifespan (31.03 kgCO2e) is a notable contributor, underscoring the importance of energy-efficient design and promotion of renewable energy use by end-users.</w:t>
      </w:r>
    </w:p>
    <w:bookmarkEnd w:id="37"/>
    <w:bookmarkStart w:id="38" w:name="reliability-and-data-quality"/>
    <w:p>
      <w:pPr>
        <w:pStyle w:val="Heading3"/>
      </w:pPr>
      <w:r>
        <w:t xml:space="preserve">Reliability and Data Quality</w:t>
      </w:r>
    </w:p>
    <w:p>
      <w:pPr>
        <w:pStyle w:val="FirstParagraph"/>
      </w:pPr>
      <w:r>
        <w:t xml:space="preserve">The calculations rely on a mix of primary data (BOM, energy usage parameters, lifespan, recyclability) and secondary, industry-average emission factors for transportation and electricity grids (China and general Europe). While specific primary data for all supply chain elements would enhance accuracy, the use of provided parameters and recognized secondary data sources (e.g., national grid factors, GLEC/IPCC/DEFRA-aligned estimates) provides a robust estimate within the defined system boundary. Assumptions regarding generic transport modes and last-mile delivery channels introduce some uncertainty but are based on typical industry practices for placeholder values.</w:t>
      </w:r>
    </w:p>
    <w:bookmarkEnd w:id="38"/>
    <w:bookmarkStart w:id="39" w:name="ghg-protocol-compliance-and-2026-updates"/>
    <w:p>
      <w:pPr>
        <w:pStyle w:val="Heading3"/>
      </w:pPr>
      <w:r>
        <w:t xml:space="preserve">GHG Protocol Compliance and 2026 Updates</w:t>
      </w:r>
    </w:p>
    <w:p>
      <w:pPr>
        <w:numPr>
          <w:ilvl w:val="0"/>
          <w:numId w:val="1019"/>
        </w:numPr>
        <w:pStyle w:val="Compact"/>
      </w:pPr>
      <w:r>
        <w:rPr>
          <w:bCs/>
          <w:b/>
        </w:rPr>
        <w:t xml:space="preserve">GHG Protocol Adherence:</w:t>
      </w:r>
      <w:r>
        <w:t xml:space="preserve"> </w:t>
      </w:r>
      <w:r>
        <w:t xml:space="preserve">This PCF analysis has been conducted in accordance with the GHG Protocol Product Standard, with emissions categorized clearly into Scope 1, Scope 2, and Scope 3 as per the Corporate Standard.</w:t>
      </w:r>
    </w:p>
    <w:p>
      <w:pPr>
        <w:numPr>
          <w:ilvl w:val="0"/>
          <w:numId w:val="1019"/>
        </w:numPr>
        <w:pStyle w:val="Compact"/>
      </w:pPr>
      <w:r>
        <w:rPr>
          <w:bCs/>
          <w:b/>
        </w:rPr>
        <w:t xml:space="preserve">2026 LSR Update:</w:t>
      </w:r>
      <w:r>
        <w:t xml:space="preserve"> </w:t>
      </w:r>
      <w:r>
        <w:t xml:space="preserve">The Land Sector and Removals (LSR) Standard, released in January 2026 and effective January 1, 2027, provides comprehensive guidance for quantifying land emissions, CO2 removals, and technological CO2 removals. While specific land-use related data for the product\'s raw materials was not provided, this report acknowledges the critical importance of the LSR Standard for full carbon accounting and recommends its application as more detailed land-use data becomes available. The accompanying guidance is expected in Q2 2026, which will further facilitate its implementation.</w:t>
      </w:r>
    </w:p>
    <w:p>
      <w:pPr>
        <w:numPr>
          <w:ilvl w:val="0"/>
          <w:numId w:val="1019"/>
        </w:numPr>
        <w:pStyle w:val="Compact"/>
      </w:pPr>
      <w:r>
        <w:rPr>
          <w:bCs/>
          <w:b/>
        </w:rPr>
        <w:t xml:space="preserve">Scope 3 Compliance:</w:t>
      </w:r>
      <w:r>
        <w:t xml:space="preserve"> </w:t>
      </w:r>
      <w:r>
        <w:t xml:space="preserve">The analysis endeavors to provide at least 95% coverage for required Scope 3 emissions, as per the 2026 proposed revisions to the GHG Protocol Scope 3 Standard. By including comprehensive material sourcing, production energy, transportation (upstream and downstream), use phase energy, and end-of-life impacts, major categories of value chain emissions have been addressed. Any potential exclusions are deemed minor in the context of the overall product footprint.</w:t>
      </w:r>
    </w:p>
    <w:p>
      <w:r>
        <w:pict>
          <v:rect style="width:0;height:1.5pt" o:hralign="center" o:hrstd="t" o:hr="t"/>
        </w:pict>
      </w:r>
    </w:p>
    <w:bookmarkEnd w:id="39"/>
    <w:bookmarkEnd w:id="40"/>
    <w:bookmarkStart w:id="41" w:name="recommendations-for-emission-reduction"/>
    <w:p>
      <w:pPr>
        <w:pStyle w:val="Heading2"/>
      </w:pPr>
      <w:r>
        <w:t xml:space="preserve">Recommendations for Emission Reduction</w:t>
      </w:r>
    </w:p>
    <w:p>
      <w:pPr>
        <w:pStyle w:val="FirstParagraph"/>
      </w:pPr>
      <w:r>
        <w:t xml:space="preserve">Based on this PCF analysis,</w:t>
      </w:r>
      <w:r>
        <w:t xml:space="preserve"> </w:t>
      </w:r>
      <w:r>
        <w:rPr>
          <w:bCs/>
          <w:b/>
        </w:rPr>
        <w:t xml:space="preserve">hxxkvxjdwf</w:t>
      </w:r>
      <w:r>
        <w:t xml:space="preserve"> </w:t>
      </w:r>
      <w:r>
        <w:t xml:space="preserve">can focus on the following areas to reduce the carbon footprint of</w:t>
      </w:r>
      <w:r>
        <w:t xml:space="preserve"> </w:t>
      </w:r>
      <w:r>
        <w:rPr>
          <w:bCs/>
          <w:b/>
        </w:rPr>
        <w:t xml:space="preserve">iupihfwrkt</w:t>
      </w:r>
      <w:r>
        <w:t xml:space="preserve">:</w:t>
      </w:r>
    </w:p>
    <w:p>
      <w:pPr>
        <w:numPr>
          <w:ilvl w:val="0"/>
          <w:numId w:val="1020"/>
        </w:numPr>
        <w:pStyle w:val="Compact"/>
      </w:pPr>
      <w:r>
        <w:rPr>
          <w:bCs/>
          <w:b/>
        </w:rPr>
        <w:t xml:space="preserve">Material Decarbonization:</w:t>
      </w:r>
      <w:r>
        <w:t xml:space="preserve"> </w:t>
      </w:r>
      <w:r>
        <w:t xml:space="preserve">Engage with suppliers to identify lower-carbon alternatives for high-impact materials (e.g., steel, plastics, silicon). Explore opportunities for increased recycled content in materials.</w:t>
      </w:r>
    </w:p>
    <w:p>
      <w:pPr>
        <w:numPr>
          <w:ilvl w:val="0"/>
          <w:numId w:val="1020"/>
        </w:numPr>
        <w:pStyle w:val="Compact"/>
      </w:pPr>
      <w:r>
        <w:rPr>
          <w:bCs/>
          <w:b/>
        </w:rPr>
        <w:t xml:space="preserve">Supply Chain Optimization:</w:t>
      </w:r>
      <w:r>
        <w:t xml:space="preserve"> </w:t>
      </w:r>
      <w:r>
        <w:t xml:space="preserve">Investigate opportunities to optimize transportation routes and modes (e.g., shifting from road to rail or ocean where feasible, optimizing load factors) to reduce upstream transport emissions. Consider closer-to-production sourcing for heavy or high-volume components.</w:t>
      </w:r>
    </w:p>
    <w:p>
      <w:pPr>
        <w:numPr>
          <w:ilvl w:val="0"/>
          <w:numId w:val="1020"/>
        </w:numPr>
        <w:pStyle w:val="Compact"/>
      </w:pPr>
      <w:r>
        <w:rPr>
          <w:bCs/>
          <w:b/>
        </w:rPr>
        <w:t xml:space="preserve">Energy Efficiency in Production:</w:t>
      </w:r>
      <w:r>
        <w:t xml:space="preserve"> </w:t>
      </w:r>
      <w:r>
        <w:t xml:space="preserve">Continuously improve energy efficiency at the production facility. While renewable energy usage is already high (hnqppnyxdj), further reduction in overall energy intensity (mlornqqznr) will yield additional benefits.</w:t>
      </w:r>
    </w:p>
    <w:p>
      <w:pPr>
        <w:numPr>
          <w:ilvl w:val="0"/>
          <w:numId w:val="1020"/>
        </w:numPr>
        <w:pStyle w:val="Compact"/>
      </w:pPr>
      <w:r>
        <w:rPr>
          <w:bCs/>
          <w:b/>
        </w:rPr>
        <w:t xml:space="preserve">Product Use Phase Design:</w:t>
      </w:r>
      <w:r>
        <w:t xml:space="preserve"> </w:t>
      </w:r>
      <w:r>
        <w:t xml:space="preserve">Explore design improvements for</w:t>
      </w:r>
      <w:r>
        <w:t xml:space="preserve"> </w:t>
      </w:r>
      <w:r>
        <w:rPr>
          <w:bCs/>
          <w:b/>
        </w:rPr>
        <w:t xml:space="preserve">iupihfwrkt</w:t>
      </w:r>
      <w:r>
        <w:t xml:space="preserve"> </w:t>
      </w:r>
      <w:r>
        <w:t xml:space="preserve">that reduce its energy consumption during the use phase (hlpfnzydst). Educate customers on energy-efficient usage practices.</w:t>
      </w:r>
    </w:p>
    <w:p>
      <w:pPr>
        <w:numPr>
          <w:ilvl w:val="0"/>
          <w:numId w:val="1020"/>
        </w:numPr>
        <w:pStyle w:val="Compact"/>
      </w:pPr>
      <w:r>
        <w:rPr>
          <w:bCs/>
          <w:b/>
        </w:rPr>
        <w:t xml:space="preserve">Enhance Circularity:</w:t>
      </w:r>
      <w:r>
        <w:t xml:space="preserve"> </w:t>
      </w:r>
      <w:r>
        <w:t xml:space="preserve">Leverage the existing company-wide take-back program (shuvxsffln) to maximize component recovery and material reuse or high-quality recycling. Explore design for disassembly and modularity to facilitate repair and refurbishment, extending product lifespan and further reducing the need for virgin materials.</w:t>
      </w:r>
    </w:p>
    <w:p>
      <w:r>
        <w:pict>
          <v:rect style="width:0;height:1.5pt" o:hralign="center" o:hrstd="t" o:hr="t"/>
        </w:pict>
      </w:r>
    </w:p>
    <w:p>
      <w:pPr>
        <w:pStyle w:val="FirstParagraph"/>
      </w:pPr>
      <w:r>
        <w:t xml:space="preserve">Confidential - Internal Use Only</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iupihfwrkt - hxxkvxjdwf</dc:title>
  <dc:creator/>
  <dc:description>Detailed Product Carbon Footprint (PCF) analysis report for iupihfwrkt by pwskflfjph, Senior Sustainability Consultant at hxxkvxjdwf, adhering to GHG Protocol and 2026 updates.</dc:description>
  <dc:language>en</dc:language>
  <cp:keywords/>
  <dcterms:created xsi:type="dcterms:W3CDTF">2026-07-15T04:36:44Z</dcterms:created>
  <dcterms:modified xsi:type="dcterms:W3CDTF">2026-07-15T04:36:44Z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