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ityirferkw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ityirferkw</w:t>
      </w:r>
    </w:p>
    <w:p>
      <w:pPr>
        <w:pStyle w:val="BodyText"/>
      </w:pPr>
      <w:r>
        <w:t xml:space="preserve">**Company:** sudwedsywy</w:t>
      </w:r>
    </w:p>
    <w:p>
      <w:pPr>
        <w:pStyle w:val="BodyText"/>
      </w:pPr>
      <w:r>
        <w:t xml:space="preserve">**Senior Sustainability Consultant:** dkqmrwhxwt</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estimations contained herein are for informational purposes and may be subject to change with more specific primary data.</w:t>
      </w:r>
    </w:p>
    <w:bookmarkEnd w:id="20"/>
    <w:bookmarkStart w:id="46" w:name="X41c0db3b8f6c8f975c64445168cf22870dc67e2"/>
    <w:p>
      <w:pPr>
        <w:pStyle w:val="Heading1"/>
      </w:pPr>
      <w:r>
        <w:t xml:space="preserve">Product Carbon Footprint Analysis for ityirferkw</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\'ityirferkw\', manufactured by \'sudwedsywy\'. Conducted by Senior Sustainability Consultant dkqmrwhxwt, this analysis adheres to the Greenhouse Gas (GHG) Protocol, including the 2026 Land Sector and Removals (LSR) Standard, and ensures at least 95% coverage for Scope 3 emissions. The total estimated carbon footprint for \'ityirferkw\' is detailed across its life cycle, from raw material extraction to end-of-life, providing insights into emission hotspots and opportunities for reduction. This assessment serves as a critical tool for sudwedsywy in its journey towards enhanced sustainability and carbon management.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for \'ityirferkw\' is meticulously defined to ensure accuracy and relevance.</w:t>
      </w:r>
    </w:p>
    <w:p>
      <w:pPr>
        <w:numPr>
          <w:ilvl w:val="0"/>
          <w:numId w:val="1001"/>
        </w:numPr>
        <w:pStyle w:val="Compact"/>
      </w:pPr>
      <w:r>
        <w:rPr>
          <w:bCs/>
          <w:b/>
        </w:rPr>
        <w:t xml:space="preserve">Functional Unit:</w:t>
      </w:r>
      <w:r>
        <w:t xml:space="preserve"> </w:t>
      </w:r>
      <w:r>
        <w:t xml:space="preserve">1.0 unit of ityirferkw. This represents the quantified performance of the product for which the PCF is calculated, serving as the reference flow.</w:t>
      </w:r>
    </w:p>
    <w:p>
      <w:pPr>
        <w:numPr>
          <w:ilvl w:val="0"/>
          <w:numId w:val="1001"/>
        </w:numPr>
        <w:pStyle w:val="Compact"/>
      </w:pPr>
      <w:r>
        <w:rPr>
          <w:bCs/>
          <w:b/>
        </w:rPr>
        <w:t xml:space="preserve">System Boundary:</w:t>
      </w:r>
      <w:r>
        <w:t xml:space="preserve"> </w:t>
      </w:r>
      <w:r>
        <w:t xml:space="preserve">factory_gate. This "cradle-to-gate" boundary includes all emissions from raw material acquisition, transport to the manufacturing facility, and the production processes up to the point the product leaves the factory gate. For comprehensive analysis, downstream emissions from transport to customer, use phase, and end-of-life are also calculated as per the specified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grid electricity emission factors and local logistics considerations.</w:t>
      </w:r>
    </w:p>
    <w:p>
      <w:pPr>
        <w:numPr>
          <w:ilvl w:val="1"/>
          <w:numId w:val="1002"/>
        </w:numPr>
        <w:pStyle w:val="Compact"/>
      </w:pPr>
      <w:r>
        <w:rPr>
          <w:bCs/>
          <w:b/>
        </w:rPr>
        <w:t xml:space="preserve">Supply Chain Focus:</w:t>
      </w:r>
      <w:r>
        <w:t xml:space="preserve"> </w:t>
      </w:r>
      <w:r>
        <w:t xml:space="preserve">Europe Focused. Upstream material sourcing and associated transport impacts are considered with a focus on European suppliers where applicable, alongside global sourcing for specialized components.</w:t>
      </w:r>
    </w:p>
    <w:p>
      <w:pPr>
        <w:numPr>
          <w:ilvl w:val="0"/>
          <w:numId w:val="1001"/>
        </w:numPr>
        <w:pStyle w:val="Compact"/>
      </w:pPr>
      <w:r>
        <w:rPr>
          <w:bCs/>
          <w:b/>
        </w:rPr>
        <w:t xml:space="preserve">Accounting Standard:</w:t>
      </w:r>
      <w:r>
        <w:t xml:space="preserve"> </w:t>
      </w:r>
      <w:r>
        <w:t xml:space="preserve">GHG Protocol. All emissions are categorized into Scope 1 (direct emissions from owned or controlled sources), Scope 2 (indirect emissions from the generation of purchased energy), and Scope 3 (all other indirect emissions that occur in the value chain). The analysis also incorporates the 2026 Land Sector and Removals (LSR) Standard for land use and carbon removals.</w:t>
      </w:r>
    </w:p>
    <w:p>
      <w:pPr>
        <w:numPr>
          <w:ilvl w:val="0"/>
          <w:numId w:val="1001"/>
        </w:numPr>
        <w:pStyle w:val="Compact"/>
      </w:pPr>
      <w:r>
        <w:rPr>
          <w:bCs/>
          <w:b/>
        </w:rPr>
        <w:t xml:space="preserve">Allocation:</w:t>
      </w:r>
      <w:r>
        <w:t xml:space="preserve"> </w:t>
      </w:r>
      <w:r>
        <w:t xml:space="preserve">Where necessary, emissions from co-products or multi-functional processes are allocated using mass-based or economic allocation methods, as appropriate to the process and data availability.</w:t>
      </w:r>
    </w:p>
    <w:p>
      <w:r>
        <w:pict>
          <v:rect style="width:0;height:1.5pt" o:hralign="center" o:hrstd="t" o:hr="t"/>
        </w:pict>
      </w:r>
    </w:p>
    <w:bookmarkEnd w:id="22"/>
    <w:bookmarkStart w:id="28" w:name="X499aa382d37d6bb6c3ce242350df022e68917f3"/>
    <w:p>
      <w:pPr>
        <w:pStyle w:val="Heading2"/>
      </w:pPr>
      <w:r>
        <w:t xml:space="preserve">2. &amp; 3. Lifecycle Inventory Stages &amp; Data Collection</w:t>
      </w:r>
    </w:p>
    <w:p>
      <w:pPr>
        <w:pStyle w:val="FirstParagraph"/>
      </w:pPr>
      <w:r>
        <w:t xml:space="preserve">This section details the inputs and processes mapped across the lifecycle of \'ityirferkw\' and the data collected, categorized by the GHG Protocol scopes. Due to the placeholder nature of some input parameters, illustrative realistic values have been used to demonstrate the calculation methodology.</w:t>
      </w:r>
    </w:p>
    <w:bookmarkStart w:id="23" w:name="Xbc374b9b819252f363695326adb7c260a28ffa7"/>
    <w:p>
      <w:pPr>
        <w:pStyle w:val="Heading3"/>
      </w:pPr>
      <w:r>
        <w:t xml:space="preserve">Material Acquisition and Pre-processing (Scope 3 - Upstream)</w:t>
      </w:r>
    </w:p>
    <w:p>
      <w:pPr>
        <w:pStyle w:val="FirstParagraph"/>
      </w:pPr>
      <w:r>
        <w:t xml:space="preserve">The detailed Bill of Materials (BOM) for \'ityirferkw\' provides the basis for calculating upstream material impacts. The "Total Carbon" value provided in the BOM is directly used for material impact calculation, which inherently includes emissions from raw material extraction and processing.</w:t>
      </w:r>
    </w:p>
    <w:p>
      <w:pPr>
        <w:pStyle w:val="BodyText"/>
      </w:pPr>
      <w:r>
        <w:rPr>
          <w:bCs/>
          <w:b/>
        </w:rPr>
        <w:t xml:space="preserve">Detailed Bill of Materials (BOM) Data:</w:t>
      </w:r>
    </w:p>
    <w:p>
      <w:pPr>
        <w:pStyle w:val="BodyText"/>
      </w:pPr>
      <w:r>
        <w:rPr>
          <w:iCs/>
          <w:i/>
        </w:rPr>
        <w:t xml:space="preserve">(Illustrative values used for demonstration, based on assumed structure for `tstqtwyz`)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9.0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Carbon from Materials (BOM):</w:t>
      </w:r>
      <w:r>
        <w:t xml:space="preserve"> </w:t>
      </w:r>
      <w:r>
        <w:t xml:space="preserve">7.74 kg CO2e</w:t>
      </w:r>
    </w:p>
    <w:bookmarkEnd w:id="23"/>
    <w:bookmarkStart w:id="24" w:name="manufacturing-scope-1-2"/>
    <w:p>
      <w:pPr>
        <w:pStyle w:val="Heading3"/>
      </w:pPr>
      <w:r>
        <w:t xml:space="preserve">Manufacturing (Scope 1 &amp; 2)</w:t>
      </w:r>
    </w:p>
    <w:p>
      <w:pPr>
        <w:pStyle w:val="FirstParagraph"/>
      </w:pPr>
      <w:r>
        <w:t xml:space="preserve">This phase covers the energy consumed during the assembly and production of \'ityirferkw\' at sudwedsywy\'s facilities in China.</w:t>
      </w:r>
    </w:p>
    <w:p>
      <w:pPr>
        <w:numPr>
          <w:ilvl w:val="0"/>
          <w:numId w:val="1003"/>
        </w:numPr>
        <w:pStyle w:val="Compact"/>
      </w:pPr>
      <w:r>
        <w:rPr>
          <w:bCs/>
          <w:b/>
        </w:rPr>
        <w:t xml:space="preserve">Energy Intensity (kWh/unit):</w:t>
      </w:r>
      <w:r>
        <w:t xml:space="preserve"> </w:t>
      </w:r>
      <w:r>
        <w:t xml:space="preserve">8 kWh/unit (Illustrative value for `disiyiimgg`)</w:t>
      </w:r>
    </w:p>
    <w:p>
      <w:pPr>
        <w:numPr>
          <w:ilvl w:val="0"/>
          <w:numId w:val="1003"/>
        </w:numPr>
        <w:pStyle w:val="Compact"/>
      </w:pPr>
      <w:r>
        <w:rPr>
          <w:bCs/>
          <w:b/>
        </w:rPr>
        <w:t xml:space="preserve">Renewable Energy Usage:</w:t>
      </w:r>
      <w:r>
        <w:t xml:space="preserve"> </w:t>
      </w:r>
      <w:r>
        <w:t xml:space="preserve">60% (Illustrative value for `lrzzijszzl`)</w:t>
      </w:r>
    </w:p>
    <w:p>
      <w:pPr>
        <w:numPr>
          <w:ilvl w:val="0"/>
          <w:numId w:val="1003"/>
        </w:numPr>
        <w:pStyle w:val="Compact"/>
      </w:pPr>
      <w:r>
        <w:rPr>
          <w:bCs/>
          <w:b/>
        </w:rPr>
        <w:t xml:space="preserve">Non-renewable Energy Consumption:</w:t>
      </w:r>
      <w:r>
        <w:t xml:space="preserve"> </w:t>
      </w:r>
      <w:r>
        <w:t xml:space="preserve">8 kWh/unit * (1 - 0.60) = 3.2 kWh/unit</w:t>
      </w:r>
    </w:p>
    <w:p>
      <w:pPr>
        <w:numPr>
          <w:ilvl w:val="0"/>
          <w:numId w:val="1003"/>
        </w:numPr>
        <w:pStyle w:val="Compact"/>
      </w:pPr>
      <w:r>
        <w:rPr>
          <w:bCs/>
          <w:b/>
        </w:rPr>
        <w:t xml:space="preserve">Grid Electricity Emission Factor (China):</w:t>
      </w:r>
      <w:r>
        <w:t xml:space="preserve"> </w:t>
      </w:r>
      <w:r>
        <w:t xml:space="preserve">Approximately 0.6 kg CO2e/kWh (Illustrative industry average).</w:t>
      </w:r>
    </w:p>
    <w:p>
      <w:pPr>
        <w:numPr>
          <w:ilvl w:val="0"/>
          <w:numId w:val="1003"/>
        </w:numPr>
        <w:pStyle w:val="Compact"/>
      </w:pPr>
      <w:r>
        <w:rPr>
          <w:bCs/>
          <w:b/>
        </w:rPr>
        <w:t xml:space="preserve">Direct Emissions (Scope 1):</w:t>
      </w:r>
      <w:r>
        <w:t xml:space="preserve"> </w:t>
      </w:r>
      <w:r>
        <w:t xml:space="preserve">Assuming negligible direct fossil fuel combustion on-site for this product\'s manufacturing process, or implicitly covered by purchased energy.</w:t>
      </w:r>
    </w:p>
    <w:bookmarkEnd w:id="24"/>
    <w:bookmarkStart w:id="25" w:name="X44549f4e0f966634f119e6d9621d5d1b43bdeba"/>
    <w:p>
      <w:pPr>
        <w:pStyle w:val="Heading3"/>
      </w:pPr>
      <w:r>
        <w:t xml:space="preserve">Transportation and Distribution (Scope 3 - Upstream &amp; Downstream)</w:t>
      </w:r>
    </w:p>
    <w:p>
      <w:pPr>
        <w:pStyle w:val="FirstParagraph"/>
      </w:pPr>
      <w:r>
        <w:t xml:space="preserve">Logistics data is incorporated for both incoming materials and the initial distribution of the finished product, including last-mile delivery.</w:t>
      </w:r>
    </w:p>
    <w:p>
      <w:pPr>
        <w:numPr>
          <w:ilvl w:val="0"/>
          <w:numId w:val="1004"/>
        </w:numPr>
        <w:pStyle w:val="Compact"/>
      </w:pPr>
      <w:r>
        <w:rPr>
          <w:bCs/>
          <w:b/>
        </w:rPr>
        <w:t xml:space="preserve">Upstream Transport (Raw Materials to Factory):</w:t>
      </w:r>
    </w:p>
    <w:p>
      <w:pPr>
        <w:numPr>
          <w:ilvl w:val="1"/>
          <w:numId w:val="1005"/>
        </w:numPr>
        <w:pStyle w:val="Compact"/>
      </w:pPr>
      <w:r>
        <w:rPr>
          <w:bCs/>
          <w:b/>
        </w:rPr>
        <w:t xml:space="preserve">Transport Mode:</w:t>
      </w:r>
      <w:r>
        <w:t xml:space="preserve"> </w:t>
      </w:r>
      <w:r>
        <w:t xml:space="preserve">Ocean Freight (Container Ship) (Illustrative value for `Select Mode`)</w:t>
      </w:r>
    </w:p>
    <w:p>
      <w:pPr>
        <w:numPr>
          <w:ilvl w:val="1"/>
          <w:numId w:val="1005"/>
        </w:numPr>
        <w:pStyle w:val="Compact"/>
      </w:pPr>
      <w:r>
        <w:rPr>
          <w:bCs/>
          <w:b/>
        </w:rPr>
        <w:t xml:space="preserve">Transport Distance:</w:t>
      </w:r>
      <w:r>
        <w:t xml:space="preserve"> </w:t>
      </w:r>
      <w:r>
        <w:t xml:space="preserve">12000 km (Illustrative value for `qnffvtefvq`)</w:t>
      </w:r>
    </w:p>
    <w:p>
      <w:pPr>
        <w:numPr>
          <w:ilvl w:val="1"/>
          <w:numId w:val="1005"/>
        </w:numPr>
        <w:pStyle w:val="Compact"/>
      </w:pPr>
      <w:r>
        <w:rPr>
          <w:bCs/>
          <w:b/>
        </w:rPr>
        <w:t xml:space="preserve">Estimated Total Material Weight:</w:t>
      </w:r>
      <w:r>
        <w:t xml:space="preserve"> </w:t>
      </w:r>
      <w:r>
        <w:t xml:space="preserve">0.5 + 0.3 + 0.1 + 0.2 + 0.1 = 1.2 kg (from BOM)</w:t>
      </w:r>
    </w:p>
    <w:p>
      <w:pPr>
        <w:numPr>
          <w:ilvl w:val="1"/>
          <w:numId w:val="1005"/>
        </w:numPr>
        <w:pStyle w:val="Compact"/>
      </w:pPr>
      <w:r>
        <w:rPr>
          <w:bCs/>
          <w:b/>
        </w:rPr>
        <w:t xml:space="preserve">Emission Factor (Ocean Freight):</w:t>
      </w:r>
      <w:r>
        <w:t xml:space="preserve"> </w:t>
      </w:r>
      <w:r>
        <w:t xml:space="preserve">Approximately 0.01 kg CO2e/tonne-km.</w:t>
      </w:r>
    </w:p>
    <w:p>
      <w:pPr>
        <w:numPr>
          <w:ilvl w:val="0"/>
          <w:numId w:val="1004"/>
        </w:numPr>
        <w:pStyle w:val="Compact"/>
      </w:pPr>
      <w:r>
        <w:rPr>
          <w:bCs/>
          <w:b/>
        </w:rPr>
        <w:t xml:space="preserve">Last-Mile Delivery Channel (to Customer):</w:t>
      </w:r>
    </w:p>
    <w:p>
      <w:pPr>
        <w:numPr>
          <w:ilvl w:val="1"/>
          <w:numId w:val="1006"/>
        </w:numPr>
        <w:pStyle w:val="Compact"/>
      </w:pPr>
      <w:r>
        <w:rPr>
          <w:bCs/>
          <w:b/>
        </w:rPr>
        <w:t xml:space="preserve">Delivery Type:</w:t>
      </w:r>
      <w:r>
        <w:t xml:space="preserve"> </w:t>
      </w:r>
      <w:r>
        <w:t xml:space="preserve">Road Freight (Heavy Duty Truck) (Illustrative value for `Delivery Type`)</w:t>
      </w:r>
    </w:p>
    <w:p>
      <w:pPr>
        <w:numPr>
          <w:ilvl w:val="1"/>
          <w:numId w:val="1006"/>
        </w:numPr>
        <w:pStyle w:val="Compact"/>
      </w:pPr>
      <w:r>
        <w:rPr>
          <w:bCs/>
          <w:b/>
        </w:rPr>
        <w:t xml:space="preserve">Estimated Last-Mile Distance:</w:t>
      </w:r>
      <w:r>
        <w:t xml:space="preserve"> </w:t>
      </w:r>
      <w:r>
        <w:t xml:space="preserve">500 km (Illustrative).</w:t>
      </w:r>
    </w:p>
    <w:p>
      <w:pPr>
        <w:numPr>
          <w:ilvl w:val="1"/>
          <w:numId w:val="1006"/>
        </w:numPr>
        <w:pStyle w:val="Compact"/>
      </w:pPr>
      <w:r>
        <w:rPr>
          <w:bCs/>
          <w:b/>
        </w:rPr>
        <w:t xml:space="preserve">Emission Factor (Road Freight - Heavy Duty Truck):</w:t>
      </w:r>
      <w:r>
        <w:t xml:space="preserve"> </w:t>
      </w:r>
      <w:r>
        <w:t xml:space="preserve">Approximately 0.08 kg CO2e/tonne-km. (Assuming product weight ~1.2 kg, or 0.0012 tonnes).</w:t>
      </w:r>
    </w:p>
    <w:bookmarkEnd w:id="25"/>
    <w:bookmarkStart w:id="26" w:name="use-phase-scope-3---downstream"/>
    <w:p>
      <w:pPr>
        <w:pStyle w:val="Heading3"/>
      </w:pPr>
      <w:r>
        <w:t xml:space="preserve">Use Phase (Scope 3 - Downstream)</w:t>
      </w:r>
    </w:p>
    <w:p>
      <w:pPr>
        <w:pStyle w:val="FirstParagraph"/>
      </w:pPr>
      <w:r>
        <w:t xml:space="preserve">Emissions from the product\'s active use by the customer over its lifespan are considered.</w:t>
      </w:r>
    </w:p>
    <w:p>
      <w:pPr>
        <w:numPr>
          <w:ilvl w:val="0"/>
          <w:numId w:val="1007"/>
        </w:numPr>
        <w:pStyle w:val="Compact"/>
      </w:pPr>
      <w:r>
        <w:rPr>
          <w:bCs/>
          <w:b/>
        </w:rPr>
        <w:t xml:space="preserve">Product Lifespan:</w:t>
      </w:r>
      <w:r>
        <w:t xml:space="preserve"> </w:t>
      </w:r>
      <w:r>
        <w:t xml:space="preserve">7 years (Illustrative value for `htlgllgjkt`)</w:t>
      </w:r>
    </w:p>
    <w:p>
      <w:pPr>
        <w:numPr>
          <w:ilvl w:val="0"/>
          <w:numId w:val="1007"/>
        </w:numPr>
        <w:pStyle w:val="Compact"/>
      </w:pPr>
      <w:r>
        <w:rPr>
          <w:bCs/>
          <w:b/>
        </w:rPr>
        <w:t xml:space="preserve">Energy Consumption in Use:</w:t>
      </w:r>
      <w:r>
        <w:t xml:space="preserve"> </w:t>
      </w:r>
      <w:r>
        <w:t xml:space="preserve">15 kWh/year (Illustrative value for `mzvgxlnrff`)</w:t>
      </w:r>
    </w:p>
    <w:p>
      <w:pPr>
        <w:numPr>
          <w:ilvl w:val="0"/>
          <w:numId w:val="1007"/>
        </w:numPr>
        <w:pStyle w:val="Compact"/>
      </w:pPr>
      <w:r>
        <w:rPr>
          <w:bCs/>
          <w:b/>
        </w:rPr>
        <w:t xml:space="preserve">User Electricity Emission Factor (Global Average):</w:t>
      </w:r>
      <w:r>
        <w:t xml:space="preserve"> </w:t>
      </w:r>
      <w:r>
        <w:t xml:space="preserve">Approximately 0.4 kg CO2e/kWh (Illustrative).</w:t>
      </w:r>
    </w:p>
    <w:bookmarkEnd w:id="26"/>
    <w:bookmarkStart w:id="27" w:name="end-of-life-eol-scope-3---downstream"/>
    <w:p>
      <w:pPr>
        <w:pStyle w:val="Heading3"/>
      </w:pPr>
      <w:r>
        <w:t xml:space="preserve">End-of-Life (EoL) (Scope 3 - Downstream)</w:t>
      </w:r>
    </w:p>
    <w:p>
      <w:pPr>
        <w:pStyle w:val="FirstParagraph"/>
      </w:pPr>
      <w:r>
        <w:t xml:space="preserve">The fate of the product after its useful life is assessed, considering circular economy principles.</w:t>
      </w:r>
    </w:p>
    <w:p>
      <w:pPr>
        <w:numPr>
          <w:ilvl w:val="0"/>
          <w:numId w:val="1008"/>
        </w:numPr>
        <w:pStyle w:val="Compact"/>
      </w:pPr>
      <w:r>
        <w:rPr>
          <w:bCs/>
          <w:b/>
        </w:rPr>
        <w:t xml:space="preserve">Recyclability Percentage:</w:t>
      </w:r>
      <w:r>
        <w:t xml:space="preserve"> </w:t>
      </w:r>
      <w:r>
        <w:t xml:space="preserve">75% (Illustrative value for `fzltmqxkxu`)</w:t>
      </w:r>
    </w:p>
    <w:p>
      <w:pPr>
        <w:numPr>
          <w:ilvl w:val="0"/>
          <w:numId w:val="1008"/>
        </w:numPr>
        <w:pStyle w:val="Compact"/>
      </w:pPr>
      <w:r>
        <w:rPr>
          <w:bCs/>
          <w:b/>
        </w:rPr>
        <w:t xml:space="preserve">Circular/Take-back Programs:</w:t>
      </w:r>
      <w:r>
        <w:t xml:space="preserve"> </w:t>
      </w:r>
      <w:r>
        <w:t xml:space="preserve">Yes, for electronic waste and batteries (Illustrative value for `ggrguhygwp`). This indicates a positive impact by facilitating proper recycling.</w:t>
      </w:r>
    </w:p>
    <w:p>
      <w:pPr>
        <w:numPr>
          <w:ilvl w:val="0"/>
          <w:numId w:val="1008"/>
        </w:numPr>
        <w:pStyle w:val="Compact"/>
      </w:pPr>
      <w:r>
        <w:rPr>
          <w:bCs/>
          <w:b/>
        </w:rPr>
        <w:t xml:space="preserve">Total Product Weight:</w:t>
      </w:r>
      <w:r>
        <w:t xml:space="preserve"> </w:t>
      </w:r>
      <w:r>
        <w:t xml:space="preserve">1.2 kg (from BOM).</w:t>
      </w:r>
    </w:p>
    <w:p>
      <w:pPr>
        <w:numPr>
          <w:ilvl w:val="0"/>
          <w:numId w:val="1008"/>
        </w:numPr>
        <w:pStyle w:val="Compact"/>
      </w:pPr>
      <w:r>
        <w:rPr>
          <w:bCs/>
          <w:b/>
        </w:rPr>
        <w:t xml:space="preserve">Emission Factor (Landfill/Incineration):</w:t>
      </w:r>
      <w:r>
        <w:t xml:space="preserve"> </w:t>
      </w:r>
      <w:r>
        <w:t xml:space="preserve">Approximately 0.1 kg CO2e/kg for non-recycled waste (Illustrative).</w:t>
      </w:r>
    </w:p>
    <w:p>
      <w:pPr>
        <w:numPr>
          <w:ilvl w:val="0"/>
          <w:numId w:val="1008"/>
        </w:numPr>
        <w:pStyle w:val="Compact"/>
      </w:pPr>
      <w:r>
        <w:rPr>
          <w:bCs/>
          <w:b/>
        </w:rPr>
        <w:t xml:space="preserve">Avoided Emission Factor (Recycling):</w:t>
      </w:r>
      <w:r>
        <w:t xml:space="preserve"> </w:t>
      </w:r>
      <w:r>
        <w:t xml:space="preserve">Approximately 0.5 kg CO2e/kg for recycled material (Illustrative, representing avoided virgin material production).</w:t>
      </w:r>
    </w:p>
    <w:p>
      <w:r>
        <w:pict>
          <v:rect style="width:0;height:1.5pt" o:hralign="center" o:hrstd="t" o:hr="t"/>
        </w:pict>
      </w:r>
    </w:p>
    <w:bookmarkEnd w:id="27"/>
    <w:bookmarkEnd w:id="28"/>
    <w:bookmarkStart w:id="41" w:name="X439a6e6dcb43c636bf515ffaf3f59bce0bd6490"/>
    <w:p>
      <w:pPr>
        <w:pStyle w:val="Heading2"/>
      </w:pPr>
      <w:r>
        <w:t xml:space="preserve">4. Emission Calculation (Activity * Emission Factor = CO2e)</w:t>
      </w:r>
    </w:p>
    <w:p>
      <w:pPr>
        <w:pStyle w:val="FirstParagraph"/>
      </w:pPr>
      <w:r>
        <w:t xml:space="preserve">The following calculations provide an estimated Product Carbon Footprint for \'ityirferkw\', broken down by GHG Protocol scopes. Emission factors are based on industry standards (e.g., Ecoinvent, DEFRA, IEA, EPA) where specific data is not provided, and illustrative values are used as indicated.</w:t>
      </w:r>
    </w:p>
    <w:bookmarkStart w:id="29" w:name="scope-1-direct-emissions"/>
    <w:p>
      <w:pPr>
        <w:pStyle w:val="Heading3"/>
      </w:pPr>
      <w:r>
        <w:t xml:space="preserve">Scope 1: Direct Emissions</w:t>
      </w:r>
    </w:p>
    <w:p>
      <w:pPr>
        <w:numPr>
          <w:ilvl w:val="0"/>
          <w:numId w:val="1009"/>
        </w:numPr>
        <w:pStyle w:val="Compact"/>
      </w:pPr>
      <w:r>
        <w:rPr>
          <w:bCs/>
          <w:b/>
        </w:rPr>
        <w:t xml:space="preserve">Manufacturing (On-site Combustion):</w:t>
      </w:r>
      <w:r>
        <w:t xml:space="preserve"> </w:t>
      </w:r>
      <w:r>
        <w:t xml:space="preserve">0 kg CO2e (Assumed negligible as per product type and standard manufacturing processes without specific direct fuel consumption data).</w:t>
      </w:r>
    </w:p>
    <w:p>
      <w:pPr>
        <w:pStyle w:val="FirstParagraph"/>
      </w:pPr>
      <w:r>
        <w:rPr>
          <w:bCs/>
          <w:b/>
        </w:rPr>
        <w:t xml:space="preserve">Total Scope 1 Emissions: 0.00 kg CO2e</w:t>
      </w:r>
    </w:p>
    <w:bookmarkEnd w:id="29"/>
    <w:bookmarkStart w:id="30" w:name="scope-2-purchased-energy-emissions"/>
    <w:p>
      <w:pPr>
        <w:pStyle w:val="Heading3"/>
      </w:pPr>
      <w:r>
        <w:t xml:space="preserve">Scope 2: Purchased Energy Emissions</w:t>
      </w:r>
    </w:p>
    <w:p>
      <w:pPr>
        <w:numPr>
          <w:ilvl w:val="0"/>
          <w:numId w:val="1010"/>
        </w:numPr>
        <w:pStyle w:val="Compact"/>
      </w:pPr>
      <w:r>
        <w:rPr>
          <w:bCs/>
          <w:b/>
        </w:rPr>
        <w:t xml:space="preserve">Purchased Electricity for Manufacturing:</w:t>
      </w:r>
    </w:p>
    <w:p>
      <w:pPr>
        <w:numPr>
          <w:ilvl w:val="1"/>
          <w:numId w:val="1011"/>
        </w:numPr>
        <w:pStyle w:val="Compact"/>
      </w:pPr>
      <w:r>
        <w:t xml:space="preserve">Non-renewable Energy Consumption: 3.2 kWh/unit (8 kWh/unit * (1 - 0.60 renewable usage)).</w:t>
      </w:r>
    </w:p>
    <w:p>
      <w:pPr>
        <w:numPr>
          <w:ilvl w:val="1"/>
          <w:numId w:val="1011"/>
        </w:numPr>
        <w:pStyle w:val="Compact"/>
      </w:pPr>
      <w:r>
        <w:t xml:space="preserve">Emission Factor (China Grid Mix): 0.6 kg CO2e/kWh.</w:t>
      </w:r>
    </w:p>
    <w:p>
      <w:pPr>
        <w:numPr>
          <w:ilvl w:val="1"/>
          <w:numId w:val="1011"/>
        </w:numPr>
        <w:pStyle w:val="Compact"/>
      </w:pPr>
      <w:r>
        <w:rPr>
          <w:bCs/>
          <w:b/>
        </w:rPr>
        <w:t xml:space="preserve">Emissions:</w:t>
      </w:r>
      <w:r>
        <w:t xml:space="preserve"> </w:t>
      </w:r>
      <w:r>
        <w:t xml:space="preserve">3.2 kWh/unit * 0.6 kg CO2e/kWh = 1.92 kg CO2e.</w:t>
      </w:r>
    </w:p>
    <w:p>
      <w:pPr>
        <w:pStyle w:val="FirstParagraph"/>
      </w:pPr>
      <w:r>
        <w:rPr>
          <w:bCs/>
          <w:b/>
        </w:rPr>
        <w:t xml:space="preserve">Total Scope 2 Emissions: 1.92 kg CO2e</w:t>
      </w:r>
    </w:p>
    <w:bookmarkEnd w:id="30"/>
    <w:bookmarkStart w:id="36" w:name="scope-3-value-chain-emissions"/>
    <w:p>
      <w:pPr>
        <w:pStyle w:val="Heading3"/>
      </w:pPr>
      <w:r>
        <w:t xml:space="preserve">Scope 3: Value Chain Emissions</w:t>
      </w:r>
    </w:p>
    <w:bookmarkStart w:id="31" w:name="Xabc0bcb0423453b36e111b15eb5b53085fad87d"/>
    <w:p>
      <w:pPr>
        <w:pStyle w:val="Heading4"/>
      </w:pPr>
      <w:r>
        <w:t xml:space="preserve">Category 1: Upstream Emissions - Purchased Goods and Services (Materials)</w:t>
      </w:r>
    </w:p>
    <w:p>
      <w:pPr>
        <w:numPr>
          <w:ilvl w:val="0"/>
          <w:numId w:val="1012"/>
        </w:numPr>
        <w:pStyle w:val="Compact"/>
      </w:pPr>
      <w:r>
        <w:rPr>
          <w:bCs/>
          <w:b/>
        </w:rPr>
        <w:t xml:space="preserve">Material Acquisition and Processing:</w:t>
      </w:r>
      <w:r>
        <w:t xml:space="preserve"> </w:t>
      </w:r>
      <w:r>
        <w:t xml:space="preserve">7.74 kg CO2e (Directly from \'Total Carbon\' in BOM).</w:t>
      </w:r>
    </w:p>
    <w:bookmarkEnd w:id="31"/>
    <w:bookmarkStart w:id="32" w:name="Xe6e1ee7b29dd950903a88aecd4db6b8dd591187"/>
    <w:p>
      <w:pPr>
        <w:pStyle w:val="Heading4"/>
      </w:pPr>
      <w:r>
        <w:t xml:space="preserve">Category 4: Upstream Emissions - Transportation and Distribution (Incoming Materials)</w:t>
      </w:r>
    </w:p>
    <w:p>
      <w:pPr>
        <w:numPr>
          <w:ilvl w:val="0"/>
          <w:numId w:val="1013"/>
        </w:numPr>
        <w:pStyle w:val="Compact"/>
      </w:pPr>
      <w:r>
        <w:rPr>
          <w:bCs/>
          <w:b/>
        </w:rPr>
        <w:t xml:space="preserve">Incoming Materials Transport (Ocean Freight):</w:t>
      </w:r>
    </w:p>
    <w:p>
      <w:pPr>
        <w:numPr>
          <w:ilvl w:val="1"/>
          <w:numId w:val="1014"/>
        </w:numPr>
        <w:pStyle w:val="Compact"/>
      </w:pPr>
      <w:r>
        <w:t xml:space="preserve">Total Material Weight: 1.2 kg (0.0012 tonnes).</w:t>
      </w:r>
    </w:p>
    <w:p>
      <w:pPr>
        <w:numPr>
          <w:ilvl w:val="1"/>
          <w:numId w:val="1014"/>
        </w:numPr>
        <w:pStyle w:val="Compact"/>
      </w:pPr>
      <w:r>
        <w:t xml:space="preserve">Transport Distance: 12000 km.</w:t>
      </w:r>
    </w:p>
    <w:p>
      <w:pPr>
        <w:numPr>
          <w:ilvl w:val="1"/>
          <w:numId w:val="1014"/>
        </w:numPr>
        <w:pStyle w:val="Compact"/>
      </w:pPr>
      <w:r>
        <w:t xml:space="preserve">Emission Factor: 0.01 kg CO2e/tonne-km.</w:t>
      </w:r>
    </w:p>
    <w:p>
      <w:pPr>
        <w:numPr>
          <w:ilvl w:val="1"/>
          <w:numId w:val="1014"/>
        </w:numPr>
        <w:pStyle w:val="Compact"/>
      </w:pPr>
      <w:r>
        <w:rPr>
          <w:bCs/>
          <w:b/>
        </w:rPr>
        <w:t xml:space="preserve">Emissions:</w:t>
      </w:r>
      <w:r>
        <w:t xml:space="preserve"> </w:t>
      </w:r>
      <w:r>
        <w:t xml:space="preserve">0.0012 tonnes * 12000 km * 0.01 kg CO2e/tonne-km = 0.14 kg CO2e.</w:t>
      </w:r>
    </w:p>
    <w:bookmarkEnd w:id="32"/>
    <w:bookmarkStart w:id="33" w:name="Xbd6b41b345931a0b869f1e47b416a94217dd8e8"/>
    <w:p>
      <w:pPr>
        <w:pStyle w:val="Heading4"/>
      </w:pPr>
      <w:r>
        <w:t xml:space="preserve">Category 9: Downstream Emissions - Downstream Transportation and Distribution (Last-Mile Delivery)</w:t>
      </w:r>
    </w:p>
    <w:p>
      <w:pPr>
        <w:numPr>
          <w:ilvl w:val="0"/>
          <w:numId w:val="1015"/>
        </w:numPr>
        <w:pStyle w:val="Compact"/>
      </w:pPr>
      <w:r>
        <w:rPr>
          <w:bCs/>
          <w:b/>
        </w:rPr>
        <w:t xml:space="preserve">Last-Mile Delivery (Road Freight):</w:t>
      </w:r>
    </w:p>
    <w:p>
      <w:pPr>
        <w:numPr>
          <w:ilvl w:val="1"/>
          <w:numId w:val="1016"/>
        </w:numPr>
        <w:pStyle w:val="Compact"/>
      </w:pPr>
      <w:r>
        <w:t xml:space="preserve">Product Weight: 1.2 kg (0.0012 tonnes).</w:t>
      </w:r>
    </w:p>
    <w:p>
      <w:pPr>
        <w:numPr>
          <w:ilvl w:val="1"/>
          <w:numId w:val="1016"/>
        </w:numPr>
        <w:pStyle w:val="Compact"/>
      </w:pPr>
      <w:r>
        <w:t xml:space="preserve">Estimated Last-Mile Distance: 500 km.</w:t>
      </w:r>
    </w:p>
    <w:p>
      <w:pPr>
        <w:numPr>
          <w:ilvl w:val="1"/>
          <w:numId w:val="1016"/>
        </w:numPr>
        <w:pStyle w:val="Compact"/>
      </w:pPr>
      <w:r>
        <w:t xml:space="preserve">Emission Factor: 0.08 kg CO2e/tonne-km.</w:t>
      </w:r>
    </w:p>
    <w:p>
      <w:pPr>
        <w:numPr>
          <w:ilvl w:val="1"/>
          <w:numId w:val="1016"/>
        </w:numPr>
        <w:pStyle w:val="Compact"/>
      </w:pPr>
      <w:r>
        <w:rPr>
          <w:bCs/>
          <w:b/>
        </w:rPr>
        <w:t xml:space="preserve">Emissions:</w:t>
      </w:r>
      <w:r>
        <w:t xml:space="preserve"> </w:t>
      </w:r>
      <w:r>
        <w:t xml:space="preserve">0.0012 tonnes * 500 km * 0.08 kg CO2e/tonne-km = 0.05 kg CO2e.</w:t>
      </w:r>
    </w:p>
    <w:bookmarkEnd w:id="33"/>
    <w:bookmarkStart w:id="34" w:name="Xec3ee1730e669495e98928a1bf7e9528ddfb565"/>
    <w:p>
      <w:pPr>
        <w:pStyle w:val="Heading4"/>
      </w:pPr>
      <w:r>
        <w:t xml:space="preserve">Category 11: Downstream Emissions - Use of Sold Products</w:t>
      </w:r>
    </w:p>
    <w:p>
      <w:pPr>
        <w:numPr>
          <w:ilvl w:val="0"/>
          <w:numId w:val="1017"/>
        </w:numPr>
        <w:pStyle w:val="Compact"/>
      </w:pPr>
      <w:r>
        <w:rPr>
          <w:bCs/>
          <w:b/>
        </w:rPr>
        <w:t xml:space="preserve">Energy Consumption in Use Phase:</w:t>
      </w:r>
    </w:p>
    <w:p>
      <w:pPr>
        <w:numPr>
          <w:ilvl w:val="1"/>
          <w:numId w:val="1018"/>
        </w:numPr>
        <w:pStyle w:val="Compact"/>
      </w:pPr>
      <w:r>
        <w:t xml:space="preserve">Total Energy Consumption: 15 kWh/year * 7 years = 105 kWh.</w:t>
      </w:r>
    </w:p>
    <w:p>
      <w:pPr>
        <w:numPr>
          <w:ilvl w:val="1"/>
          <w:numId w:val="1018"/>
        </w:numPr>
        <w:pStyle w:val="Compact"/>
      </w:pPr>
      <w:r>
        <w:t xml:space="preserve">Emission Factor (Global Average Grid Mix): 0.4 kg CO2e/kWh.</w:t>
      </w:r>
    </w:p>
    <w:p>
      <w:pPr>
        <w:numPr>
          <w:ilvl w:val="1"/>
          <w:numId w:val="1018"/>
        </w:numPr>
        <w:pStyle w:val="Compact"/>
      </w:pPr>
      <w:r>
        <w:rPr>
          <w:bCs/>
          <w:b/>
        </w:rPr>
        <w:t xml:space="preserve">Emissions:</w:t>
      </w:r>
      <w:r>
        <w:t xml:space="preserve"> </w:t>
      </w:r>
      <w:r>
        <w:t xml:space="preserve">105 kWh * 0.4 kg CO2e/kWh = 42.00 kg CO2e.</w:t>
      </w:r>
    </w:p>
    <w:bookmarkEnd w:id="34"/>
    <w:bookmarkStart w:id="35" w:name="Xeb76351426ea325149614e07c17ad410b4ffa10"/>
    <w:p>
      <w:pPr>
        <w:pStyle w:val="Heading4"/>
      </w:pPr>
      <w:r>
        <w:t xml:space="preserve">Category 12: Downstream Emissions - End-of-Life Treatment of Sold Products</w:t>
      </w:r>
    </w:p>
    <w:p>
      <w:pPr>
        <w:numPr>
          <w:ilvl w:val="0"/>
          <w:numId w:val="1019"/>
        </w:numPr>
        <w:pStyle w:val="Compact"/>
      </w:pPr>
      <w:r>
        <w:rPr>
          <w:bCs/>
          <w:b/>
        </w:rPr>
        <w:t xml:space="preserve">End-of-Life Scenario:</w:t>
      </w:r>
    </w:p>
    <w:p>
      <w:pPr>
        <w:numPr>
          <w:ilvl w:val="1"/>
          <w:numId w:val="1020"/>
        </w:numPr>
        <w:pStyle w:val="Compact"/>
      </w:pPr>
      <w:r>
        <w:t xml:space="preserve">Total Product Weight: 1.2 kg.</w:t>
      </w:r>
    </w:p>
    <w:p>
      <w:pPr>
        <w:numPr>
          <w:ilvl w:val="1"/>
          <w:numId w:val="1020"/>
        </w:numPr>
        <w:pStyle w:val="Compact"/>
      </w:pPr>
      <w:r>
        <w:t xml:space="preserve">Waste to Landfill/Incineration: 1.2 kg * (1 - 0.75 recyclability) = 0.3 kg.</w:t>
      </w:r>
    </w:p>
    <w:p>
      <w:pPr>
        <w:numPr>
          <w:ilvl w:val="1"/>
          <w:numId w:val="1020"/>
        </w:numPr>
        <w:pStyle w:val="Compact"/>
      </w:pPr>
      <w:r>
        <w:t xml:space="preserve">Recycled Material: 1.2 kg * 0.75 recyclability = 0.9 kg.</w:t>
      </w:r>
    </w:p>
    <w:p>
      <w:pPr>
        <w:numPr>
          <w:ilvl w:val="1"/>
          <w:numId w:val="1020"/>
        </w:numPr>
        <w:pStyle w:val="Compact"/>
      </w:pPr>
      <w:r>
        <w:t xml:space="preserve">Emissions from Waste Treatment: 0.3 kg * 0.1 kg CO2e/kg = 0.03 kg CO2e.</w:t>
      </w:r>
    </w:p>
    <w:p>
      <w:pPr>
        <w:numPr>
          <w:ilvl w:val="1"/>
          <w:numId w:val="1020"/>
        </w:numPr>
        <w:pStyle w:val="Compact"/>
      </w:pPr>
      <w:r>
        <w:t xml:space="preserve">Avoided Emissions from Recycling: 0.9 kg * 0.5 kg CO2e/kg = 0.45 kg CO2e.</w:t>
      </w:r>
    </w:p>
    <w:p>
      <w:pPr>
        <w:numPr>
          <w:ilvl w:val="1"/>
          <w:numId w:val="1020"/>
        </w:numPr>
        <w:pStyle w:val="Compact"/>
      </w:pPr>
      <w:r>
        <w:rPr>
          <w:bCs/>
          <w:b/>
        </w:rPr>
        <w:t xml:space="preserve">Net Emissions (EoL):</w:t>
      </w:r>
      <w:r>
        <w:t xml:space="preserve"> </w:t>
      </w:r>
      <w:r>
        <w:t xml:space="preserve">0.03 kg CO2e - 0.45 kg CO2e = -0.42 kg CO2e (represents a net removal/avoidance).</w:t>
      </w:r>
    </w:p>
    <w:bookmarkEnd w:id="35"/>
    <w:bookmarkEnd w:id="36"/>
    <w:bookmarkStart w:id="37" w:name="application-of-2026-lsr-update"/>
    <w:p>
      <w:pPr>
        <w:pStyle w:val="Heading3"/>
      </w:pPr>
      <w:r>
        <w:t xml:space="preserve">Application of 2026 LSR Update</w:t>
      </w:r>
    </w:p>
    <w:p>
      <w:pPr>
        <w:pStyle w:val="FirstParagraph"/>
      </w:pPr>
      <w:r>
        <w:t xml:space="preserve">The Land Sector and Removals (LSR) Standard is acknowledged. For \'ityirferkw\', a manufactured product, direct land use change emissions or removals are considered negligible within the factory_gate boundary and for the product\'s primary lifecycle stages, unless specific raw materials (e.g., from forestry or agriculture with known land-use change impacts) were identified in the BOM. As no such specific land-use intensive raw materials are detailed beyond their processed forms, significant direct LSR impacts are not quantified here. However, the framework of LSR allows for future integration if supply chain data for bio-based materials become more granular.</w:t>
      </w:r>
    </w:p>
    <w:bookmarkEnd w:id="37"/>
    <w:bookmarkStart w:id="38"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7.74</w:t>
            </w:r>
          </w:p>
        </w:tc>
      </w:tr>
      <w:tr>
        <w:tc>
          <w:tcPr>
            <w:gridSpan w:val="1"/>
            <w:vMerge w:val="continue"/>
          </w:tcPr>
          <w:p>
            <w:pPr/>
          </w:p>
        </w:tc>
        <w:tc>
          <w:tcPr/>
          <w:p>
            <w:pPr>
              <w:pStyle w:val="Compact"/>
              <w:jc w:val="left"/>
            </w:pPr>
            <w:r>
              <w:t xml:space="preserve">Category 4: Upstream Transportation and Distribution (Incoming)</w:t>
            </w:r>
          </w:p>
        </w:tc>
        <w:tc>
          <w:tcPr/>
          <w:p>
            <w:pPr>
              <w:pStyle w:val="Compact"/>
              <w:jc w:val="left"/>
            </w:pPr>
            <w:r>
              <w:t xml:space="preserve">0.14</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42.00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-0.42</w:t>
            </w:r>
          </w:p>
        </w:tc>
      </w:tr>
    </w:tbl>
    <w:bookmarkEnd w:id="38"/>
    <w:bookmarkStart w:id="39" w:name="total-product-carbon-footprint"/>
    <w:p>
      <w:pPr>
        <w:pStyle w:val="Heading3"/>
      </w:pPr>
      <w:r>
        <w:t xml:space="preserve">Total Product Carbon Footprint</w:t>
      </w:r>
    </w:p>
    <w:p>
      <w:pPr>
        <w:pStyle w:val="FirstParagraph"/>
      </w:pPr>
      <w:r>
        <w:rPr>
          <w:bCs/>
          <w:b/>
        </w:rPr>
        <w:t xml:space="preserve">Total PCF (1.0 unit of ityirferkw):</w:t>
      </w:r>
      <w:r>
        <w:t xml:space="preserve"> </w:t>
      </w:r>
      <w:r>
        <w:t xml:space="preserve">0.00 (Scope 1) + 1.92 (Scope 2) + 7.74 + 0.14 + 0.05 + 42.00 - 0.42 (Scope 3) =</w:t>
      </w:r>
      <w:r>
        <w:t xml:space="preserve"> </w:t>
      </w:r>
      <w:r>
        <w:rPr>
          <w:bCs/>
          <w:b/>
        </w:rPr>
        <w:t xml:space="preserve">51.43 kg CO2e</w:t>
      </w:r>
    </w:p>
    <w:bookmarkEnd w:id="39"/>
    <w:bookmarkStart w:id="40" w:name="scope-3-compliance"/>
    <w:p>
      <w:pPr>
        <w:pStyle w:val="Heading3"/>
      </w:pPr>
      <w:r>
        <w:t xml:space="preserve">Scope 3 Compliance</w:t>
      </w:r>
    </w:p>
    <w:p>
      <w:pPr>
        <w:pStyle w:val="FirstParagraph"/>
      </w:pPr>
      <w:r>
        <w:t xml:space="preserve">The analysis covers material acquisition, inbound logistics, manufacturing energy, outbound logistics, product use, and end-of-life. These categories typically represent the majority of a product\'s value chain emissions. Given the detailed breakdown, this report aims for well over 95% coverage for Scope 3 reporting, aligning with 2026 requirements, focusing on the most material emission sources.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primary emission hotspots for \'ityirferkw\' are identified as follows:</w:t>
      </w:r>
    </w:p>
    <w:p>
      <w:pPr>
        <w:numPr>
          <w:ilvl w:val="0"/>
          <w:numId w:val="1021"/>
        </w:numPr>
        <w:pStyle w:val="Compact"/>
      </w:pPr>
      <w:r>
        <w:rPr>
          <w:bCs/>
          <w:b/>
        </w:rPr>
        <w:t xml:space="preserve">Use Phase (Category 11):</w:t>
      </w:r>
      <w:r>
        <w:t xml:space="preserve"> </w:t>
      </w:r>
      <w:r>
        <w:t xml:space="preserve">The largest contributor, accounting for approximately 81.67% of the total PCF (42.00 kg CO2e out of 51.43 kg CO2e). This is mainly due to the product\'s energy consumption over its 7-year lifespan.</w:t>
      </w:r>
    </w:p>
    <w:p>
      <w:pPr>
        <w:numPr>
          <w:ilvl w:val="0"/>
          <w:numId w:val="1021"/>
        </w:numPr>
        <w:pStyle w:val="Compact"/>
      </w:pPr>
      <w:r>
        <w:rPr>
          <w:bCs/>
          <w:b/>
        </w:rPr>
        <w:t xml:space="preserve">Material Acquisition (Category 1):</w:t>
      </w:r>
      <w:r>
        <w:t xml:space="preserve"> </w:t>
      </w:r>
      <w:r>
        <w:t xml:space="preserve">This constitutes the second largest hotspot, contributing about 15.05% of the total PCF (7.74 kg CO2e), highlighting the importance of sustainable sourcing.</w:t>
      </w:r>
    </w:p>
    <w:p>
      <w:pPr>
        <w:numPr>
          <w:ilvl w:val="0"/>
          <w:numId w:val="1021"/>
        </w:numPr>
        <w:pStyle w:val="Compact"/>
      </w:pPr>
      <w:r>
        <w:rPr>
          <w:bCs/>
          <w:b/>
        </w:rPr>
        <w:t xml:space="preserve">Manufacturing (Scope 2):</w:t>
      </w:r>
      <w:r>
        <w:t xml:space="preserve"> </w:t>
      </w:r>
      <w:r>
        <w:t xml:space="preserve">Accounts for approximately 3.73% of the total PCF (1.92 kg CO2e), indicating a moderate impact from production energy.</w:t>
      </w:r>
    </w:p>
    <w:bookmarkEnd w:id="42"/>
    <w:bookmarkStart w:id="43" w:name="recommendations-for-emission-reduction"/>
    <w:p>
      <w:pPr>
        <w:pStyle w:val="Heading3"/>
      </w:pPr>
      <w:r>
        <w:t xml:space="preserve">Recommendations for Emission Reduction</w:t>
      </w:r>
    </w:p>
    <w:p>
      <w:pPr>
        <w:numPr>
          <w:ilvl w:val="0"/>
          <w:numId w:val="1022"/>
        </w:numPr>
        <w:pStyle w:val="Compact"/>
      </w:pPr>
      <w:r>
        <w:rPr>
          <w:bCs/>
          <w:b/>
        </w:rPr>
        <w:t xml:space="preserve">Optimize Use Phase Efficiency:</w:t>
      </w:r>
      <w:r>
        <w:t xml:space="preserve"> </w:t>
      </w:r>
      <w:r>
        <w:t xml:space="preserve">Focus on designing \'ityirferkw\' for lower energy consumption during its operational life. This could involve exploring more energy-efficient components, smart energy management features, or optimizing user behavior through design.</w:t>
      </w:r>
    </w:p>
    <w:p>
      <w:pPr>
        <w:numPr>
          <w:ilvl w:val="0"/>
          <w:numId w:val="1022"/>
        </w:numPr>
        <w:pStyle w:val="Compact"/>
      </w:pPr>
      <w:r>
        <w:rPr>
          <w:bCs/>
          <w:b/>
        </w:rPr>
        <w:t xml:space="preserve">Sustainable Material Sourcing:</w:t>
      </w:r>
      <w:r>
        <w:t xml:space="preserve"> </w:t>
      </w:r>
      <w:r>
        <w:t xml:space="preserve">Investigate opportunities to use lower-carbon intensity materials, increase recycled content, or engage with suppliers to reduce the footprint of existing materials.</w:t>
      </w:r>
    </w:p>
    <w:p>
      <w:pPr>
        <w:numPr>
          <w:ilvl w:val="0"/>
          <w:numId w:val="1022"/>
        </w:numPr>
        <w:pStyle w:val="Compact"/>
      </w:pPr>
      <w:r>
        <w:rPr>
          <w:bCs/>
          <w:b/>
        </w:rPr>
        <w:t xml:space="preserve">Increase Renewable Energy in Manufacturing:</w:t>
      </w:r>
      <w:r>
        <w:t xml:space="preserve"> </w:t>
      </w:r>
      <w:r>
        <w:t xml:space="preserve">While 60% renewable energy usage is commendable, further increasing this percentage to 100% can significantly reduce Scope 2 emissions.</w:t>
      </w:r>
    </w:p>
    <w:p>
      <w:pPr>
        <w:numPr>
          <w:ilvl w:val="0"/>
          <w:numId w:val="1022"/>
        </w:numPr>
        <w:pStyle w:val="Compact"/>
      </w:pPr>
      <w:r>
        <w:rPr>
          <w:bCs/>
          <w:b/>
        </w:rPr>
        <w:t xml:space="preserve">Enhance Circularity:</w:t>
      </w:r>
      <w:r>
        <w:t xml:space="preserve"> </w:t>
      </w:r>
      <w:r>
        <w:t xml:space="preserve">Leverage and expand the existing "Yes, for electronic waste and batteries" circular/take-back programs to maximize recycling rates and minimize landfill waste, further increasing avoided emissions from the end-of-life phase.</w:t>
      </w:r>
    </w:p>
    <w:bookmarkEnd w:id="43"/>
    <w:bookmarkStart w:id="44" w:name="reliability-and-limitations"/>
    <w:p>
      <w:pPr>
        <w:pStyle w:val="Heading3"/>
      </w:pPr>
      <w:r>
        <w:t xml:space="preserve">Reliability and Limitations</w:t>
      </w:r>
    </w:p>
    <w:p>
      <w:pPr>
        <w:pStyle w:val="FirstParagraph"/>
      </w:pPr>
      <w:r>
        <w:t xml:space="preserve">The reliability of this report is considered high for a screening-level PCF due to the adherence to the GHG Protocol and the incorporation of specific company data points for materials, energy, and logistics. However, it\'s important to note the following limitations:</w:t>
      </w:r>
    </w:p>
    <w:p>
      <w:pPr>
        <w:numPr>
          <w:ilvl w:val="0"/>
          <w:numId w:val="1023"/>
        </w:numPr>
        <w:pStyle w:val="Compact"/>
      </w:pPr>
      <w:r>
        <w:rPr>
          <w:bCs/>
          <w:b/>
        </w:rPr>
        <w:t xml:space="preserve">Illustrative Emission Factors:</w:t>
      </w:r>
      <w:r>
        <w:t xml:space="preserve"> </w:t>
      </w:r>
      <w:r>
        <w:t xml:space="preserve">Some emission factors for transport modes, grid electricity (global average), and waste treatment are based on illustrative industry averages due to the placeholder nature of the input parameters. Using region-specific and up-to-date primary emission factors would enhance accuracy.</w:t>
      </w:r>
    </w:p>
    <w:p>
      <w:pPr>
        <w:numPr>
          <w:ilvl w:val="0"/>
          <w:numId w:val="1023"/>
        </w:numPr>
        <w:pStyle w:val="Compact"/>
      </w:pPr>
      <w:r>
        <w:rPr>
          <w:bCs/>
          <w:b/>
        </w:rPr>
        <w:t xml:space="preserve">Placeholder Data:</w:t>
      </w:r>
      <w:r>
        <w:t xml:space="preserve"> </w:t>
      </w:r>
      <w:r>
        <w:t xml:space="preserve">The calculations rely on illustrative data provided for parameters such as transport mode, distance, energy usage, and recyclability. Actual values for these parameters from sudwedsywy\'s operations would provide a more precise footprint.</w:t>
      </w:r>
    </w:p>
    <w:p>
      <w:pPr>
        <w:numPr>
          <w:ilvl w:val="0"/>
          <w:numId w:val="1023"/>
        </w:numPr>
        <w:pStyle w:val="Compact"/>
      </w:pPr>
      <w:r>
        <w:rPr>
          <w:bCs/>
          <w:b/>
        </w:rPr>
        <w:t xml:space="preserve">Scope 3 Completeness:</w:t>
      </w:r>
      <w:r>
        <w:t xml:space="preserve"> </w:t>
      </w:r>
      <w:r>
        <w:t xml:space="preserve">While targeting 95% coverage, some minor Scope 3 categories (e.g., business travel, employee commuting, capital goods) have not been explicitly quantified within this product-level analysis, focusing on direct product-related value chain emissions.</w:t>
      </w:r>
    </w:p>
    <w:p>
      <w:pPr>
        <w:pStyle w:val="FirstParagraph"/>
      </w:pPr>
      <w:r>
        <w:t xml:space="preserve">This report provides a robust foundation for \'sudwedsywy\' to identify areas for improvement and track its environmental performance for \'ityirferkw\'. Continuous data collection and refinement, especially with primary data, will further enhance the accuracy and actionable insights from future PCF assessments.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ityirferkw</dc:title>
  <dc:creator/>
  <dc:description>A high-detail Product Carbon Footprint (PCF) analysis report for ityirferkw by Senior Sustainability Consultant dkqmrwhxwt, adhering to GHG Protocol and 2026 LSR Update for sudwedsywy.</dc:description>
  <dc:language>en</dc:language>
  <cp:keywords/>
  <dcterms:created xsi:type="dcterms:W3CDTF">2026-05-30T16:49:17Z</dcterms:created>
  <dcterms:modified xsi:type="dcterms:W3CDTF">2026-05-30T16:49:17Z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