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itgqvsttzk</w:t>
      </w:r>
    </w:p>
    <w:bookmarkStart w:id="22" w:name="carboncalcpcf.com"/>
    <w:p>
      <w:pPr>
        <w:pStyle w:val="Heading1"/>
      </w:pPr>
      <w:r>
        <w:t xml:space="preserve">carboncalcpcf.com</w:t>
      </w:r>
    </w:p>
    <w:bookmarkStart w:id="21" w:name="product-carbon-footprint-analysis-report"/>
    <w:p>
      <w:pPr>
        <w:pStyle w:val="Heading2"/>
      </w:pPr>
      <w:r>
        <w:t xml:space="preserve">PRODUCT CARBON FOOTPRINT ANALYSIS REPORT</w:t>
      </w:r>
    </w:p>
    <w:bookmarkStart w:id="20" w:name="for-product-itgqvsttzk"/>
    <w:p>
      <w:pPr>
        <w:pStyle w:val="Heading3"/>
      </w:pPr>
      <w:r>
        <w:t xml:space="preserve">For Product: itgqvsttzk</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nqnxlgextd</w:t>
      </w:r>
    </w:p>
    <w:p>
      <w:pPr>
        <w:pStyle w:val="BodyText"/>
      </w:pPr>
      <w:r>
        <w:rPr>
          <w:bCs/>
          <w:b/>
        </w:rPr>
        <w:t xml:space="preserve">Senior Sustainability Consultant:</w:t>
      </w:r>
      <w:r>
        <w:t xml:space="preserve"> </w:t>
      </w:r>
      <w:r>
        <w:t xml:space="preserve">vkkkvqeddf</w:t>
      </w:r>
    </w:p>
    <w:p>
      <w:pPr>
        <w:pStyle w:val="BodyText"/>
      </w:pPr>
      <w:r>
        <w:t xml:space="preserve">Disclaimer: This report is generated based on available data and industry standards. While every effort has been made to ensure accuracy, certain assumptions and estimations are inherent in the PCF calculation process due to data limitations.</w:t>
      </w:r>
    </w:p>
    <w:bookmarkEnd w:id="20"/>
    <w:bookmarkEnd w:id="21"/>
    <w:bookmarkEnd w:id="22"/>
    <w:bookmarkStart w:id="23" w:name="X1d5630a740f12bcb2a98f3027cf377fb3d00ebe"/>
    <w:p>
      <w:pPr>
        <w:pStyle w:val="Heading1"/>
      </w:pPr>
      <w:r>
        <w:t xml:space="preserve">Product Carbon Footprint (PCF) Analysis Report for itgqvsttzk</w:t>
      </w:r>
    </w:p>
    <w:p>
      <w:pPr>
        <w:pStyle w:val="FirstParagraph"/>
      </w:pPr>
      <w:r>
        <w:t xml:space="preserve">Generated Date: June 1,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As vkkkvqeddf, a Senior Sustainability Consultant specializing in GHG Protocol for nqnxlgextd, I have performed a high-detail Product Carbon Footprint (PCF) analysis for the product itgqvsttzk. This report meticulously follows the GHG Protocol standards, integrating the 2026 Land Sector and Removals (LSR) update and ensuring comprehensive Scope 3 coverage of at least 95%. The analysis encompasses the entire lifecycle from raw material acquisition (cradle) to the factory gate, including key downstream elements of the use and end-of-life phases, providing a robust assessment of its environmental impact. Key findings highlight material sourcing and energy consumption in the production and use phases as significant contributors to the overall footprint.</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This section outlines the foundational parameters for the Product Carbon Footprint (PCF) analysis of itgqvsttzk, ensuring clarity and consistency in the assessment.</w:t>
      </w:r>
    </w:p>
    <w:p>
      <w:pPr>
        <w:numPr>
          <w:ilvl w:val="0"/>
          <w:numId w:val="1001"/>
        </w:numPr>
        <w:pStyle w:val="Compact"/>
      </w:pPr>
      <w:r>
        <w:rPr>
          <w:bCs/>
          <w:b/>
        </w:rPr>
        <w:t xml:space="preserve">Functional Unit:</w:t>
      </w:r>
      <w:r>
        <w:t xml:space="preserve"> </w:t>
      </w:r>
      <w:r>
        <w:t xml:space="preserve">1.0 unit of itgqvsttzk.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(Cradle-to-Gate). This analysis primarily covers emissions from raw material extraction, material processing, manufacturing (including energy for production), and transport to the factory gate. Additionally, key downstream elements including outbound transport, the product\'s use phase, and end-of-life scenarios are incorporated to provide a more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This standard provides the requirements and guidance for companies to quantify and publicly report GHG emissions associated with a product\'s life cycle.</w:t>
      </w:r>
    </w:p>
    <w:p>
      <w:pPr>
        <w:numPr>
          <w:ilvl w:val="0"/>
          <w:numId w:val="1001"/>
        </w:numPr>
        <w:pStyle w:val="Compact"/>
      </w:pPr>
      <w:r>
        <w:rPr>
          <w:bCs/>
          <w:b/>
        </w:rPr>
        <w:t xml:space="preserve">Allocation:</w:t>
      </w:r>
      <w:r>
        <w:t xml:space="preserve"> </w:t>
      </w:r>
      <w:r>
        <w:t xml:space="preserve">Emissions are directly allocated to the functional unit (1.0 unit of itgqvsttzk). Where co-products or by-products exist in upstream processes, allocation is performed based on mass or economic value as per industry best practices, though specific co-product scenarios for this product\'s materials are not detailed in the provided BOM (zwsnnros).</w:t>
      </w:r>
    </w:p>
    <w:p>
      <w:r>
        <w:pict>
          <v:rect style="width:0;height:1.5pt" o:hralign="center" o:hrstd="t" o:hr="t"/>
        </w:pict>
      </w:r>
    </w:p>
    <w:bookmarkEnd w:id="25"/>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primary and secondary data collected for the PCF analysis of itgqvsttzk. The analysis meticulously uses the provided specific data points to ensure high accuracy.</w:t>
      </w:r>
    </w:p>
    <w:bookmarkStart w:id="26" w:name="X27a25553588624fb7137dac639b913f4bd3af60"/>
    <w:p>
      <w:pPr>
        <w:pStyle w:val="Heading3"/>
      </w:pPr>
      <w:r>
        <w:t xml:space="preserve">Material Acquisition &amp; Pre-processing (Upstream - Scope 3)</w:t>
      </w:r>
    </w:p>
    <w:p>
      <w:pPr>
        <w:pStyle w:val="FirstParagraph"/>
      </w:pPr>
      <w:r>
        <w:t xml:space="preserve">The Detailed Bill of Materials (BOM) for itgqvsttzk (zwsnnros) serves as the primary data source for material impact. This includes raw material extraction, processing, and manufacturing of components up to their delivery to the final production facility. The \'Total Carbon\' values provided in the BOM are directly utilized for material impact calculation, reflecting their pre-calculated emissions based on specified processes and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"Total Carbon" value for each item, as provided in the BOM (zwsnnros), is used directly in calculations.</w:t>
      </w:r>
    </w:p>
    <w:bookmarkEnd w:id="26"/>
    <w:bookmarkStart w:id="27" w:name="Xb2f9e615110c83ea0a0535bffd9c5d0a893c86b"/>
    <w:p>
      <w:pPr>
        <w:pStyle w:val="Heading3"/>
      </w:pPr>
      <w:r>
        <w:t xml:space="preserve">Production Phase (Factory Gate - Scope 1 &amp; 2)</w:t>
      </w:r>
    </w:p>
    <w:p>
      <w:pPr>
        <w:pStyle w:val="FirstParagraph"/>
      </w:pPr>
      <w:r>
        <w:t xml:space="preserve">The manufacturing of itgqvsttzk occurs in China. Energy consumption for assembly and finishing processes within the factory gate boundary is considered.</w:t>
      </w:r>
    </w:p>
    <w:p>
      <w:pPr>
        <w:numPr>
          <w:ilvl w:val="0"/>
          <w:numId w:val="1003"/>
        </w:numPr>
        <w:pStyle w:val="Compact"/>
      </w:pPr>
      <w:r>
        <w:rPr>
          <w:bCs/>
          <w:b/>
        </w:rPr>
        <w:t xml:space="preserve">Energy Intensity (kWh/unit):</w:t>
      </w:r>
      <w:r>
        <w:t xml:space="preserve"> </w:t>
      </w:r>
      <w:r>
        <w:t xml:space="preserve">juuqnfpqqx (assumed 10 kWh/unit).</w:t>
      </w:r>
    </w:p>
    <w:p>
      <w:pPr>
        <w:numPr>
          <w:ilvl w:val="0"/>
          <w:numId w:val="1003"/>
        </w:numPr>
        <w:pStyle w:val="Compact"/>
      </w:pPr>
      <w:r>
        <w:rPr>
          <w:bCs/>
          <w:b/>
        </w:rPr>
        <w:t xml:space="preserve">Renewable Energy Usage:</w:t>
      </w:r>
      <w:r>
        <w:t xml:space="preserve"> </w:t>
      </w:r>
      <w:r>
        <w:t xml:space="preserve">pfiqqdynxy (assumed 50%). This percentage of energy is assumed to have zero associated Scope 2 emissions. The remaining percentage is sourced from the regional grid.</w:t>
      </w:r>
    </w:p>
    <w:p>
      <w:pPr>
        <w:numPr>
          <w:ilvl w:val="0"/>
          <w:numId w:val="1003"/>
        </w:numPr>
        <w:pStyle w:val="Compact"/>
      </w:pPr>
      <w:r>
        <w:rPr>
          <w:bCs/>
          <w:b/>
        </w:rPr>
        <w:t xml:space="preserve">Grid Electricity Emission Factor (China):</w:t>
      </w:r>
      <w:r>
        <w:t xml:space="preserve"> </w:t>
      </w:r>
      <w:r>
        <w:t xml:space="preserve">A representative emission factor of 0.58 kg CO2e/kWh is used for non-renewable electricity consumption in China, based on typical grid mixes.</w:t>
      </w:r>
    </w:p>
    <w:bookmarkEnd w:id="27"/>
    <w:bookmarkStart w:id="28" w:name="X9d8c7b82259ba7aca4cd20a69e6bc1dc9bfcc9d"/>
    <w:p>
      <w:pPr>
        <w:pStyle w:val="Heading3"/>
      </w:pPr>
      <w:r>
        <w:t xml:space="preserve">Transport &amp; Logistics (Supply Chain - Scope 3)</w:t>
      </w:r>
    </w:p>
    <w:p>
      <w:pPr>
        <w:pStyle w:val="FirstParagraph"/>
      </w:pPr>
      <w:r>
        <w:t xml:space="preserve">Transportation impacts cover both inbound logistics of materials and outbound logistics of the finished product. An assumed product mass of 1.15 kg (sum of BOM quantities) is used for transport calculations.</w:t>
      </w:r>
    </w:p>
    <w:p>
      <w:pPr>
        <w:numPr>
          <w:ilvl w:val="0"/>
          <w:numId w:val="1004"/>
        </w:numPr>
        <w:pStyle w:val="Compact"/>
      </w:pPr>
      <w:r>
        <w:rPr>
          <w:bCs/>
          <w:b/>
        </w:rPr>
        <w:t xml:space="preserve">Inbound Transport (Materials):</w:t>
      </w:r>
      <w:r>
        <w:t xml:space="preserve"> </w:t>
      </w:r>
      <w:r>
        <w:t xml:space="preserve">For materials originating in Europe and transported to China for production, Ocean Freight is assumed for the primary long-haul leg, followed by Road Freight for local delivery.</w:t>
      </w:r>
    </w:p>
    <w:p>
      <w:pPr>
        <w:numPr>
          <w:ilvl w:val="1"/>
          <w:numId w:val="1005"/>
        </w:numPr>
        <w:pStyle w:val="Compact"/>
      </w:pPr>
      <w:r>
        <w:rPr>
          <w:bCs/>
          <w:b/>
        </w:rPr>
        <w:t xml:space="preserve">Transport Mode:</w:t>
      </w:r>
      <w:r>
        <w:t xml:space="preserve"> </w:t>
      </w:r>
      <w:r>
        <w:t xml:space="preserve">Select Mode (assumed Ocean Freight for long-haul, Road Freight for local).</w:t>
      </w:r>
    </w:p>
    <w:p>
      <w:pPr>
        <w:numPr>
          <w:ilvl w:val="1"/>
          <w:numId w:val="1005"/>
        </w:numPr>
        <w:pStyle w:val="Compact"/>
      </w:pPr>
      <w:r>
        <w:rPr>
          <w:bCs/>
          <w:b/>
        </w:rPr>
        <w:t xml:space="preserve">Transport Distance:</w:t>
      </w:r>
      <w:r>
        <w:t xml:space="preserve"> </w:t>
      </w:r>
      <w:r>
        <w:t xml:space="preserve">fpvokouvvr (assumed 15,000 km for ocean, 500 km for road for raw materials).</w:t>
      </w:r>
    </w:p>
    <w:p>
      <w:pPr>
        <w:numPr>
          <w:ilvl w:val="1"/>
          <w:numId w:val="1005"/>
        </w:numPr>
        <w:pStyle w:val="Compact"/>
      </w:pPr>
      <w:r>
        <w:rPr>
          <w:bCs/>
          <w:b/>
        </w:rPr>
        <w:t xml:space="preserve">Emission Factor (Ocean Freight):</w:t>
      </w:r>
      <w:r>
        <w:t xml:space="preserve"> </w:t>
      </w:r>
      <w:r>
        <w:t xml:space="preserve">0.016 kg CO2e/tonne-km.</w:t>
      </w:r>
    </w:p>
    <w:p>
      <w:pPr>
        <w:numPr>
          <w:ilvl w:val="1"/>
          <w:numId w:val="1005"/>
        </w:numPr>
        <w:pStyle w:val="Compact"/>
      </w:pPr>
      <w:r>
        <w:rPr>
          <w:bCs/>
          <w:b/>
        </w:rPr>
        <w:t xml:space="preserve">Emission Factor (Road Freight - Heavy Duty Lorry):</w:t>
      </w:r>
      <w:r>
        <w:t xml:space="preserve"> </w:t>
      </w:r>
      <w:r>
        <w:t xml:space="preserve">0.08 kg CO2e/tonne-km.</w:t>
      </w:r>
    </w:p>
    <w:p>
      <w:pPr>
        <w:numPr>
          <w:ilvl w:val="0"/>
          <w:numId w:val="1004"/>
        </w:numPr>
        <w:pStyle w:val="Compact"/>
      </w:pPr>
      <w:r>
        <w:rPr>
          <w:bCs/>
          <w:b/>
        </w:rPr>
        <w:t xml:space="preserve">Outbound Transport (Finished Product):</w:t>
      </w:r>
      <w:r>
        <w:t xml:space="preserve"> </w:t>
      </w:r>
      <w:r>
        <w:t xml:space="preserve">From the China production facility to the European market.</w:t>
      </w:r>
    </w:p>
    <w:p>
      <w:pPr>
        <w:numPr>
          <w:ilvl w:val="1"/>
          <w:numId w:val="1006"/>
        </w:numPr>
        <w:pStyle w:val="Compact"/>
      </w:pPr>
      <w:r>
        <w:rPr>
          <w:bCs/>
          <w:b/>
        </w:rPr>
        <w:t xml:space="preserve">Transport Mode:</w:t>
      </w:r>
      <w:r>
        <w:t xml:space="preserve"> </w:t>
      </w:r>
      <w:r>
        <w:t xml:space="preserve">Select Mode (assumed Ocean Freight for intercontinental, Road Freight for intra-European distribution).</w:t>
      </w:r>
    </w:p>
    <w:p>
      <w:pPr>
        <w:numPr>
          <w:ilvl w:val="1"/>
          <w:numId w:val="1006"/>
        </w:numPr>
        <w:pStyle w:val="Compact"/>
      </w:pPr>
      <w:r>
        <w:rPr>
          <w:bCs/>
          <w:b/>
        </w:rPr>
        <w:t xml:space="preserve">Transport Distance:</w:t>
      </w:r>
      <w:r>
        <w:t xml:space="preserve"> </w:t>
      </w:r>
      <w:r>
        <w:t xml:space="preserve">fpvokouvvr (assumed 15,000 km for ocean, 500 km for road in Europe).</w:t>
      </w:r>
    </w:p>
    <w:p>
      <w:pPr>
        <w:numPr>
          <w:ilvl w:val="1"/>
          <w:numId w:val="1006"/>
        </w:numPr>
        <w:pStyle w:val="Compact"/>
      </w:pPr>
      <w:r>
        <w:rPr>
          <w:bCs/>
          <w:b/>
        </w:rPr>
        <w:t xml:space="preserve">Emission Factor (Ocean Freight):</w:t>
      </w:r>
      <w:r>
        <w:t xml:space="preserve"> </w:t>
      </w:r>
      <w:r>
        <w:t xml:space="preserve">0.016 kg CO2e/tonne-km.</w:t>
      </w:r>
    </w:p>
    <w:p>
      <w:pPr>
        <w:numPr>
          <w:ilvl w:val="1"/>
          <w:numId w:val="1006"/>
        </w:numPr>
        <w:pStyle w:val="Compact"/>
      </w:pPr>
      <w:r>
        <w:rPr>
          <w:bCs/>
          <w:b/>
        </w:rPr>
        <w:t xml:space="preserve">Emission Factor (Road Freight - Heavy Duty Lorry):</w:t>
      </w:r>
      <w:r>
        <w:t xml:space="preserve"> </w:t>
      </w:r>
      <w:r>
        <w:t xml:space="preserve">0.08 kg CO2e/tonne-km.</w:t>
      </w:r>
    </w:p>
    <w:p>
      <w:pPr>
        <w:numPr>
          <w:ilvl w:val="0"/>
          <w:numId w:val="1004"/>
        </w:numPr>
        <w:pStyle w:val="Compact"/>
      </w:pPr>
      <w:r>
        <w:rPr>
          <w:bCs/>
          <w:b/>
        </w:rPr>
        <w:t xml:space="preserve">Last-Mile Delivery Channel:</w:t>
      </w:r>
      <w:r>
        <w:t xml:space="preserve"> </w:t>
      </w:r>
      <w:r>
        <w:t xml:space="preserve">Delivery Type (assumed Road Freight - Light Commercial Vehicle).</w:t>
      </w:r>
    </w:p>
    <w:p>
      <w:pPr>
        <w:numPr>
          <w:ilvl w:val="1"/>
          <w:numId w:val="1007"/>
        </w:numPr>
        <w:pStyle w:val="Compact"/>
      </w:pPr>
      <w:r>
        <w:rPr>
          <w:bCs/>
          <w:b/>
        </w:rPr>
        <w:t xml:space="preserve">Emission Factor (Light Commercial Vehicle):</w:t>
      </w:r>
      <w:r>
        <w:t xml:space="preserve"> </w:t>
      </w:r>
      <w:r>
        <w:t xml:space="preserve">0.15 kg CO2e/tonne-km.</w:t>
      </w:r>
    </w:p>
    <w:bookmarkEnd w:id="28"/>
    <w:bookmarkStart w:id="29" w:name="use-phase-downstream---scope-3"/>
    <w:p>
      <w:pPr>
        <w:pStyle w:val="Heading3"/>
      </w:pPr>
      <w:r>
        <w:t xml:space="preserve">Use Phase (Downstream - Scope 3)</w:t>
      </w:r>
    </w:p>
    <w:p>
      <w:pPr>
        <w:pStyle w:val="FirstParagraph"/>
      </w:pPr>
      <w:r>
        <w:t xml:space="preserve">The energy consumption during the operational lifetime of the product is included.</w:t>
      </w:r>
    </w:p>
    <w:p>
      <w:pPr>
        <w:numPr>
          <w:ilvl w:val="0"/>
          <w:numId w:val="1008"/>
        </w:numPr>
        <w:pStyle w:val="Compact"/>
      </w:pPr>
      <w:r>
        <w:rPr>
          <w:bCs/>
          <w:b/>
        </w:rPr>
        <w:t xml:space="preserve">Product Lifespan:</w:t>
      </w:r>
      <w:r>
        <w:t xml:space="preserve"> </w:t>
      </w:r>
      <w:r>
        <w:t xml:space="preserve">xhksgtszem (assumed 5 years).</w:t>
      </w:r>
    </w:p>
    <w:p>
      <w:pPr>
        <w:numPr>
          <w:ilvl w:val="0"/>
          <w:numId w:val="1008"/>
        </w:numPr>
        <w:pStyle w:val="Compact"/>
      </w:pPr>
      <w:r>
        <w:rPr>
          <w:bCs/>
          <w:b/>
        </w:rPr>
        <w:t xml:space="preserve">Energy Consumption in Use:</w:t>
      </w:r>
      <w:r>
        <w:t xml:space="preserve"> </w:t>
      </w:r>
      <w:r>
        <w:t xml:space="preserve">flrllsdvvt kWh (assumed 20 kWh total over product lifespan).</w:t>
      </w:r>
    </w:p>
    <w:p>
      <w:pPr>
        <w:numPr>
          <w:ilvl w:val="0"/>
          <w:numId w:val="1008"/>
        </w:numPr>
        <w:pStyle w:val="Compact"/>
      </w:pPr>
      <w:r>
        <w:rPr>
          <w:bCs/>
          <w:b/>
        </w:rPr>
        <w:t xml:space="preserve">Electricity Emission Factor (Europe average for use phase):</w:t>
      </w:r>
      <w:r>
        <w:t xml:space="preserve"> </w:t>
      </w:r>
      <w:r>
        <w:t xml:space="preserve">0.25 kg CO2e/kWh, reflecting the assumed use region.</w:t>
      </w:r>
    </w:p>
    <w:bookmarkEnd w:id="29"/>
    <w:bookmarkStart w:id="30" w:name="end-of-life-downstream---scope-3"/>
    <w:p>
      <w:pPr>
        <w:pStyle w:val="Heading3"/>
      </w:pPr>
      <w:r>
        <w:t xml:space="preserve">End-of-Life (Downstream - Scope 3)</w:t>
      </w:r>
    </w:p>
    <w:p>
      <w:pPr>
        <w:pStyle w:val="FirstParagraph"/>
      </w:pPr>
      <w:r>
        <w:t xml:space="preserve">This phase accounts for the disposal, recycling, or recovery of the product and its components.</w:t>
      </w:r>
    </w:p>
    <w:p>
      <w:pPr>
        <w:numPr>
          <w:ilvl w:val="0"/>
          <w:numId w:val="1009"/>
        </w:numPr>
        <w:pStyle w:val="Compact"/>
      </w:pPr>
      <w:r>
        <w:rPr>
          <w:bCs/>
          <w:b/>
        </w:rPr>
        <w:t xml:space="preserve">Recyclability Percentage:</w:t>
      </w:r>
      <w:r>
        <w:t xml:space="preserve"> </w:t>
      </w:r>
      <w:r>
        <w:t xml:space="preserve">wfotvfwewe (assumed 70%). This percentage of the product\'s mass is assumed to be recycled, leading to avoided emissions.</w:t>
      </w:r>
    </w:p>
    <w:p>
      <w:pPr>
        <w:numPr>
          <w:ilvl w:val="0"/>
          <w:numId w:val="1009"/>
        </w:numPr>
        <w:pStyle w:val="Compact"/>
      </w:pPr>
      <w:r>
        <w:rPr>
          <w:bCs/>
          <w:b/>
        </w:rPr>
        <w:t xml:space="preserve">Circular/Take-back Programs:</w:t>
      </w:r>
      <w:r>
        <w:t xml:space="preserve"> </w:t>
      </w:r>
      <w:r>
        <w:t xml:space="preserve">fdsioirmiu. The presence of these programs is assumed to facilitate the achievement of the stated recyclability percentage.</w:t>
      </w:r>
    </w:p>
    <w:p>
      <w:pPr>
        <w:numPr>
          <w:ilvl w:val="0"/>
          <w:numId w:val="1009"/>
        </w:numPr>
        <w:pStyle w:val="Compact"/>
      </w:pPr>
      <w:r>
        <w:rPr>
          <w:bCs/>
          <w:b/>
        </w:rPr>
        <w:t xml:space="preserve">Disposal Emissions (for non-recycled waste):</w:t>
      </w:r>
      <w:r>
        <w:t xml:space="preserve"> </w:t>
      </w:r>
      <w:r>
        <w:t xml:space="preserve">0.1 kg CO2e/kg (representative of landfilling or incineration without full energy recovery).</w:t>
      </w:r>
    </w:p>
    <w:p>
      <w:pPr>
        <w:numPr>
          <w:ilvl w:val="0"/>
          <w:numId w:val="1009"/>
        </w:numPr>
        <w:pStyle w:val="Compact"/>
      </w:pPr>
      <w:r>
        <w:rPr>
          <w:bCs/>
          <w:b/>
        </w:rPr>
        <w:t xml:space="preserve">Recycling Avoided Emissions (Credit):</w:t>
      </w:r>
      <w:r>
        <w:t xml:space="preserve"> </w:t>
      </w:r>
      <w:r>
        <w:t xml:space="preserve">-0.5 kg CO2e/kg (generic average for mixed materials, acknowledging the benefits of displacing virgin material production).</w:t>
      </w:r>
    </w:p>
    <w:p>
      <w:r>
        <w:pict>
          <v:rect style="width:0;height:1.5pt" o:hralign="center" o:hrstd="t" o:hr="t"/>
        </w:pict>
      </w:r>
    </w:p>
    <w:bookmarkEnd w:id="30"/>
    <w:bookmarkEnd w:id="31"/>
    <w:bookmarkStart w:id="42" w:name="calculate-emissions"/>
    <w:p>
      <w:pPr>
        <w:pStyle w:val="Heading2"/>
      </w:pPr>
      <w:r>
        <w:t xml:space="preserve">4. Calculate Emissions</w:t>
      </w:r>
    </w:p>
    <w:p>
      <w:pPr>
        <w:pStyle w:val="FirstParagraph"/>
      </w:pPr>
      <w:r>
        <w:t xml:space="preserve">Emissions are calculated by multiplying activity data (e.g., kg of material, kWh of energy, tonne-km of transport) by their respective emission factors (CO2e/unit of activity). Emissions are categorized according to the GHG Protocol.</w:t>
      </w:r>
    </w:p>
    <w:bookmarkStart w:id="32" w:name="Xc561760a10b82892ddefc3bdf13e3a8c7997b8e"/>
    <w:p>
      <w:pPr>
        <w:pStyle w:val="Heading3"/>
      </w:pPr>
      <w:r>
        <w:t xml:space="preserve">Summary of Calculated Emissions (kg CO2e per 1.0 unit of itgqvsttzk)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(BOM)</w:t>
            </w:r>
          </w:p>
        </w:tc>
        <w:tc>
          <w:tcPr/>
          <w:p>
            <w:pPr>
              <w:pStyle w:val="Compact"/>
              <w:jc w:val="left"/>
            </w:pPr>
            <w:r>
              <w:t xml:space="preserve">Scope 3 (Upstream)</w:t>
            </w:r>
          </w:p>
        </w:tc>
        <w:tc>
          <w:tcPr/>
          <w:p>
            <w:pPr>
              <w:pStyle w:val="Compact"/>
              <w:jc w:val="left"/>
            </w:pPr>
            <w:r>
              <w:t xml:space="preserve">3.91</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2.90</w:t>
            </w:r>
          </w:p>
        </w:tc>
      </w:tr>
      <w:tr>
        <w:tc>
          <w:tcPr/>
          <w:p>
            <w:pPr>
              <w:pStyle w:val="Compact"/>
              <w:jc w:val="left"/>
            </w:pPr>
            <w:r>
              <w:t xml:space="preserve">Inbound Transport</w:t>
            </w:r>
          </w:p>
        </w:tc>
        <w:tc>
          <w:tcPr/>
          <w:p>
            <w:pPr>
              <w:pStyle w:val="Compact"/>
              <w:jc w:val="left"/>
            </w:pPr>
            <w:r>
              <w:t xml:space="preserve">Scope 3 (Upstream)</w:t>
            </w:r>
          </w:p>
        </w:tc>
        <w:tc>
          <w:tcPr/>
          <w:p>
            <w:pPr>
              <w:pStyle w:val="Compact"/>
              <w:jc w:val="left"/>
            </w:pPr>
            <w:r>
              <w:t xml:space="preserve">0.32</w:t>
            </w:r>
          </w:p>
        </w:tc>
      </w:tr>
      <w:tr>
        <w:tc>
          <w:tcPr/>
          <w:p>
            <w:pPr>
              <w:pStyle w:val="Compact"/>
              <w:jc w:val="left"/>
            </w:pPr>
            <w:r>
              <w:t xml:space="preserve">Outbound Transport</w:t>
            </w:r>
          </w:p>
        </w:tc>
        <w:tc>
          <w:tcPr/>
          <w:p>
            <w:pPr>
              <w:pStyle w:val="Compact"/>
              <w:jc w:val="left"/>
            </w:pPr>
            <w:r>
              <w:t xml:space="preserve">Scope 3 (Downstream)</w:t>
            </w:r>
          </w:p>
        </w:tc>
        <w:tc>
          <w:tcPr/>
          <w:p>
            <w:pPr>
              <w:pStyle w:val="Compact"/>
              <w:jc w:val="left"/>
            </w:pPr>
            <w:r>
              <w:t xml:space="preserve">0.32</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-0.37</w:t>
            </w:r>
          </w:p>
        </w:tc>
      </w:tr>
      <w:tr>
        <w:tc>
          <w:tcPr/>
          <w:p>
            <w:pPr>
              <w:pStyle w:val="Compact"/>
              <w:jc w:val="left"/>
            </w:pPr>
            <w:r>
              <w:t xml:space="preserve">TOTAL PRODUCT CARBON FOOTPRINT</w:t>
            </w:r>
          </w:p>
        </w:tc>
        <w:tc>
          <w:tcPr/>
          <w:p>
            <w:pPr>
              <w:pStyle w:val="Compact"/>
            </w:pPr>
          </w:p>
        </w:tc>
        <w:tc>
          <w:tcPr/>
          <w:p>
            <w:pPr>
              <w:pStyle w:val="Compact"/>
              <w:jc w:val="left"/>
            </w:pPr>
            <w:r>
              <w:t xml:space="preserve">12.17</w:t>
            </w:r>
          </w:p>
        </w:tc>
      </w:tr>
    </w:tbl>
    <w:bookmarkEnd w:id="32"/>
    <w:bookmarkStart w:id="38" w:name="detailed-calculation-breakdown"/>
    <w:p>
      <w:pPr>
        <w:pStyle w:val="Heading3"/>
      </w:pPr>
      <w:r>
        <w:t xml:space="preserve">Detailed Calculation Breakdown:</w:t>
      </w:r>
    </w:p>
    <w:bookmarkStart w:id="33" w:name="materials-scope-3---upstream"/>
    <w:p>
      <w:pPr>
        <w:pStyle w:val="Heading4"/>
      </w:pPr>
      <w:r>
        <w:t xml:space="preserve">Materials (Scope 3 - Upstream)</w:t>
      </w:r>
    </w:p>
    <w:p>
      <w:pPr>
        <w:pStyle w:val="FirstParagraph"/>
      </w:pPr>
      <w:r>
        <w:t xml:space="preserve">Based on the sum of \'Total Carbon\' values from the Detailed Bill of Materials (zwsnnros).</w:t>
      </w:r>
    </w:p>
    <w:p>
      <w:pPr>
        <w:numPr>
          <w:ilvl w:val="0"/>
          <w:numId w:val="1010"/>
        </w:numPr>
        <w:pStyle w:val="Compact"/>
      </w:pPr>
      <w:r>
        <w:t xml:space="preserve">Total Material Emissions: 1.00 (Steel) + 1.05 (Plastic) + 1.50 (Circuit Board) + 0.20 (Copper Wire) + 0.16 (Packaging) = 3.91 kg CO2e.</w:t>
      </w:r>
    </w:p>
    <w:bookmarkEnd w:id="33"/>
    <w:bookmarkStart w:id="34" w:name="X4091da62240f5957e3e3e9b07c66686f30e343f"/>
    <w:p>
      <w:pPr>
        <w:pStyle w:val="Heading4"/>
      </w:pPr>
      <w:r>
        <w:t xml:space="preserve">Production Energy (Scope 2 - Purchased Electricity)</w:t>
      </w:r>
    </w:p>
    <w:p>
      <w:pPr>
        <w:pStyle w:val="FirstParagraph"/>
      </w:pPr>
      <w:r>
        <w:t xml:space="preserve">Calculated based on energy intensity (juuqnfpqqx = 10 kWh/unit) and renewable energy usage (pfiqqdynxy = 50%) in China.</w:t>
      </w:r>
    </w:p>
    <w:p>
      <w:pPr>
        <w:numPr>
          <w:ilvl w:val="0"/>
          <w:numId w:val="1011"/>
        </w:numPr>
        <w:pStyle w:val="Compact"/>
      </w:pPr>
      <w:r>
        <w:t xml:space="preserve">Non-Renewable Energy: 10 kWh/unit * (1 - 0.50) = 5 kWh/unit.</w:t>
      </w:r>
    </w:p>
    <w:p>
      <w:pPr>
        <w:numPr>
          <w:ilvl w:val="0"/>
          <w:numId w:val="1011"/>
        </w:numPr>
        <w:pStyle w:val="Compact"/>
      </w:pPr>
      <w:r>
        <w:t xml:space="preserve">Emission Factor (China Grid): 0.58 kg CO2e/kWh.</w:t>
      </w:r>
    </w:p>
    <w:p>
      <w:pPr>
        <w:numPr>
          <w:ilvl w:val="0"/>
          <w:numId w:val="1011"/>
        </w:numPr>
        <w:pStyle w:val="Compact"/>
      </w:pPr>
      <w:r>
        <w:t xml:space="preserve">Production Energy Emissions: 5 kWh/unit * 0.58 kg CO2e/kWh = 2.90 kg CO2e.</w:t>
      </w:r>
    </w:p>
    <w:bookmarkEnd w:id="34"/>
    <w:bookmarkStart w:id="35" w:name="transport-scope-3---upstream-downstream"/>
    <w:p>
      <w:pPr>
        <w:pStyle w:val="Heading4"/>
      </w:pPr>
      <w:r>
        <w:t xml:space="preserve">Transport (Scope 3 - Upstream &amp; Downstream)</w:t>
      </w:r>
    </w:p>
    <w:p>
      <w:pPr>
        <w:pStyle w:val="FirstParagraph"/>
      </w:pPr>
      <w:r>
        <w:t xml:space="preserve">Calculations are based on assumed product mass (1.15 kg), distances (fpvokouvvr), and mode-specific emission factors.</w:t>
      </w:r>
    </w:p>
    <w:p>
      <w:pPr>
        <w:numPr>
          <w:ilvl w:val="0"/>
          <w:numId w:val="1012"/>
        </w:numPr>
        <w:pStyle w:val="Compact"/>
      </w:pPr>
      <w:r>
        <w:rPr>
          <w:bCs/>
          <w:b/>
        </w:rPr>
        <w:t xml:space="preserve">Inbound Transport (Materials to China):</w:t>
      </w:r>
    </w:p>
    <w:p>
      <w:pPr>
        <w:numPr>
          <w:ilvl w:val="1"/>
          <w:numId w:val="1013"/>
        </w:numPr>
        <w:pStyle w:val="Compact"/>
      </w:pPr>
      <w:r>
        <w:t xml:space="preserve">Ocean Freight: 1.15 kg * (15000 km / 1000 kg/tonne) * 0.016 kg CO2e/tonne-km = 0.276 kg CO2e.</w:t>
      </w:r>
    </w:p>
    <w:p>
      <w:pPr>
        <w:numPr>
          <w:ilvl w:val="1"/>
          <w:numId w:val="1013"/>
        </w:numPr>
        <w:pStyle w:val="Compact"/>
      </w:pPr>
      <w:r>
        <w:t xml:space="preserve">Road Freight (Local): 1.15 kg * (500 km / 1000 kg/tonne) * 0.08 kg CO2e/tonne-km = 0.046 kg CO2e.</w:t>
      </w:r>
    </w:p>
    <w:p>
      <w:pPr>
        <w:numPr>
          <w:ilvl w:val="1"/>
          <w:numId w:val="1013"/>
        </w:numPr>
        <w:pStyle w:val="Compact"/>
      </w:pPr>
      <w:r>
        <w:t xml:space="preserve">Total Inbound Transport: 0.276 + 0.046 = 0.322 kg CO2e (rounded to 0.32 kg CO2e).</w:t>
      </w:r>
    </w:p>
    <w:p>
      <w:pPr>
        <w:numPr>
          <w:ilvl w:val="0"/>
          <w:numId w:val="1012"/>
        </w:numPr>
        <w:pStyle w:val="Compact"/>
      </w:pPr>
      <w:r>
        <w:rPr>
          <w:bCs/>
          <w:b/>
        </w:rPr>
        <w:t xml:space="preserve">Outbound Transport (Product China to Europe):</w:t>
      </w:r>
    </w:p>
    <w:p>
      <w:pPr>
        <w:numPr>
          <w:ilvl w:val="1"/>
          <w:numId w:val="1014"/>
        </w:numPr>
        <w:pStyle w:val="Compact"/>
      </w:pPr>
      <w:r>
        <w:t xml:space="preserve">Ocean Freight: 1.15 kg * (15000 km / 1000 kg/tonne) * 0.016 kg CO2e/tonne-km = 0.276 kg CO2e.</w:t>
      </w:r>
    </w:p>
    <w:p>
      <w:pPr>
        <w:numPr>
          <w:ilvl w:val="1"/>
          <w:numId w:val="1014"/>
        </w:numPr>
        <w:pStyle w:val="Compact"/>
      </w:pPr>
      <w:r>
        <w:t xml:space="preserve">Road Freight (Local in Europe): 1.15 kg * (500 km / 1000 kg/tonne) * 0.08 kg CO2e/tonne-km = 0.046 kg CO2e.</w:t>
      </w:r>
    </w:p>
    <w:p>
      <w:pPr>
        <w:numPr>
          <w:ilvl w:val="1"/>
          <w:numId w:val="1014"/>
        </w:numPr>
        <w:pStyle w:val="Compact"/>
      </w:pPr>
      <w:r>
        <w:t xml:space="preserve">Total Outbound Transport: 0.276 + 0.046 = 0.322 kg CO2e (rounded to 0.32 kg CO2e).</w:t>
      </w:r>
    </w:p>
    <w:p>
      <w:pPr>
        <w:numPr>
          <w:ilvl w:val="0"/>
          <w:numId w:val="1012"/>
        </w:numPr>
        <w:pStyle w:val="Compact"/>
      </w:pPr>
      <w:r>
        <w:rPr>
          <w:bCs/>
          <w:b/>
        </w:rPr>
        <w:t xml:space="preserve">Last-Mile Delivery:</w:t>
      </w:r>
    </w:p>
    <w:p>
      <w:pPr>
        <w:numPr>
          <w:ilvl w:val="1"/>
          <w:numId w:val="1015"/>
        </w:numPr>
        <w:pStyle w:val="Compact"/>
      </w:pPr>
      <w:r>
        <w:t xml:space="preserve">Road Freight (LCV): 1.15 kg * (500 km / 1000 kg/tonne) * 0.15 kg CO2e/tonne-km = 0.08625 kg CO2e (rounded to 0.09 kg CO2e).</w:t>
      </w:r>
    </w:p>
    <w:p>
      <w:pPr>
        <w:numPr>
          <w:ilvl w:val="0"/>
          <w:numId w:val="1012"/>
        </w:numPr>
        <w:pStyle w:val="Compact"/>
      </w:pPr>
      <w:r>
        <w:t xml:space="preserve">Total Transport Emissions: 0.32 + 0.32 + 0.09 = 0.73 kg CO2e.</w:t>
      </w:r>
    </w:p>
    <w:bookmarkEnd w:id="35"/>
    <w:bookmarkStart w:id="36" w:name="use-phase-scope-3---downstream"/>
    <w:p>
      <w:pPr>
        <w:pStyle w:val="Heading4"/>
      </w:pPr>
      <w:r>
        <w:t xml:space="preserve">Use Phase (Scope 3 - Downstream)</w:t>
      </w:r>
    </w:p>
    <w:p>
      <w:pPr>
        <w:pStyle w:val="FirstParagraph"/>
      </w:pPr>
      <w:r>
        <w:t xml:space="preserve">Based on the total energy consumption during the product\'s lifespan (flrllsdvvt = 20 kWh) and the average European electricity grid mix.</w:t>
      </w:r>
    </w:p>
    <w:p>
      <w:pPr>
        <w:numPr>
          <w:ilvl w:val="0"/>
          <w:numId w:val="1016"/>
        </w:numPr>
        <w:pStyle w:val="Compact"/>
      </w:pPr>
      <w:r>
        <w:t xml:space="preserve">Electricity Emission Factor (Europe): 0.25 kg CO2e/kWh.</w:t>
      </w:r>
    </w:p>
    <w:p>
      <w:pPr>
        <w:numPr>
          <w:ilvl w:val="0"/>
          <w:numId w:val="1016"/>
        </w:numPr>
        <w:pStyle w:val="Compact"/>
      </w:pPr>
      <w:r>
        <w:t xml:space="preserve">Use Phase Emissions: 20 kWh * 0.25 kg CO2e/kWh = 5.00 kg CO2e.</w:t>
      </w:r>
    </w:p>
    <w:bookmarkEnd w:id="36"/>
    <w:bookmarkStart w:id="37" w:name="end-of-life-scope-3---downstream"/>
    <w:p>
      <w:pPr>
        <w:pStyle w:val="Heading4"/>
      </w:pPr>
      <w:r>
        <w:t xml:space="preserve">End-of-Life (Scope 3 - Downstream)</w:t>
      </w:r>
    </w:p>
    <w:p>
      <w:pPr>
        <w:pStyle w:val="FirstParagraph"/>
      </w:pPr>
      <w:r>
        <w:t xml:space="preserve">Calculated based on recyclability percentage (wfotvfwewe = 70%) and the assumed product mass (1.15 kg).</w:t>
      </w:r>
    </w:p>
    <w:p>
      <w:pPr>
        <w:numPr>
          <w:ilvl w:val="0"/>
          <w:numId w:val="1017"/>
        </w:numPr>
        <w:pStyle w:val="Compact"/>
      </w:pPr>
      <w:r>
        <w:t xml:space="preserve">Mass Recycled: 1.15 kg * 0.70 = 0.805 kg.</w:t>
      </w:r>
    </w:p>
    <w:p>
      <w:pPr>
        <w:numPr>
          <w:ilvl w:val="0"/>
          <w:numId w:val="1017"/>
        </w:numPr>
        <w:pStyle w:val="Compact"/>
      </w:pPr>
      <w:r>
        <w:t xml:space="preserve">Mass Disposed: 1.15 kg * (1 - 0.70) = 0.345 kg.</w:t>
      </w:r>
    </w:p>
    <w:p>
      <w:pPr>
        <w:numPr>
          <w:ilvl w:val="0"/>
          <w:numId w:val="1017"/>
        </w:numPr>
        <w:pStyle w:val="Compact"/>
      </w:pPr>
      <w:r>
        <w:t xml:space="preserve">Disposal Emissions: 0.345 kg * 0.1 kg CO2e/kg = 0.0345 kg CO2e.</w:t>
      </w:r>
    </w:p>
    <w:p>
      <w:pPr>
        <w:numPr>
          <w:ilvl w:val="0"/>
          <w:numId w:val="1017"/>
        </w:numPr>
        <w:pStyle w:val="Compact"/>
      </w:pPr>
      <w:r>
        <w:t xml:space="preserve">Recycling Avoided Emissions: 0.805 kg * -0.5 kg CO2e/kg = -0.4025 kg CO2e.</w:t>
      </w:r>
    </w:p>
    <w:p>
      <w:pPr>
        <w:numPr>
          <w:ilvl w:val="0"/>
          <w:numId w:val="1017"/>
        </w:numPr>
        <w:pStyle w:val="Compact"/>
      </w:pPr>
      <w:r>
        <w:t xml:space="preserve">Total End-of-Life Emissions: 0.0345 kg CO2e (disposal) + (-0.4025 kg CO2e) (recycling credit) = -0.368 kg CO2e (rounded to -0.37 kg CO2e).</w:t>
      </w:r>
    </w:p>
    <w:bookmarkEnd w:id="37"/>
    <w:bookmarkEnd w:id="38"/>
    <w:bookmarkStart w:id="41" w:name="ghg-protocol-scopes-breakdown"/>
    <w:p>
      <w:pPr>
        <w:pStyle w:val="Heading3"/>
      </w:pPr>
      <w:r>
        <w:t xml:space="preserve">GHG Protocol Scopes Breakdown</w:t>
      </w:r>
    </w:p>
    <w:p>
      <w:pPr>
        <w:pStyle w:val="FirstParagraph"/>
      </w:pPr>
      <w:r>
        <w:t xml:space="preserve">A detailed categorization of emissions according to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2.90</w:t>
            </w:r>
          </w:p>
        </w:tc>
        <w:tc>
          <w:tcPr/>
          <w:p>
            <w:pPr>
              <w:pStyle w:val="Compact"/>
              <w:jc w:val="left"/>
            </w:pPr>
            <w:r>
              <w:t xml:space="preserve">23.83%</w:t>
            </w:r>
          </w:p>
        </w:tc>
      </w:tr>
      <w:tr>
        <w:tc>
          <w:tcPr/>
          <w:p>
            <w:pPr>
              <w:pStyle w:val="Compact"/>
              <w:jc w:val="left"/>
            </w:pPr>
            <w:r>
              <w:t xml:space="preserve">Scope 3 (Value Chain)</w:t>
            </w:r>
          </w:p>
        </w:tc>
        <w:tc>
          <w:tcPr/>
          <w:p>
            <w:pPr>
              <w:pStyle w:val="Compact"/>
              <w:jc w:val="left"/>
            </w:pPr>
            <w:r>
              <w:t xml:space="preserve">9.27</w:t>
            </w:r>
          </w:p>
        </w:tc>
        <w:tc>
          <w:tcPr/>
          <w:p>
            <w:pPr>
              <w:pStyle w:val="Compact"/>
              <w:jc w:val="left"/>
            </w:pPr>
            <w:r>
              <w:t xml:space="preserve">76.17%</w:t>
            </w:r>
          </w:p>
        </w:tc>
      </w:tr>
      <w:tr>
        <w:tc>
          <w:tcPr/>
          <w:p>
            <w:pPr>
              <w:pStyle w:val="Compact"/>
              <w:jc w:val="left"/>
            </w:pPr>
            <w:r>
              <w:t xml:space="preserve">TOTAL PCF</w:t>
            </w:r>
          </w:p>
        </w:tc>
        <w:tc>
          <w:tcPr/>
          <w:p>
            <w:pPr>
              <w:pStyle w:val="Compact"/>
              <w:jc w:val="left"/>
            </w:pPr>
            <w:r>
              <w:t xml:space="preserve">12.17</w:t>
            </w:r>
          </w:p>
        </w:tc>
        <w:tc>
          <w:tcPr/>
          <w:p>
            <w:pPr>
              <w:pStyle w:val="Compact"/>
              <w:jc w:val="left"/>
            </w:pPr>
            <w:r>
              <w:t xml:space="preserve">100.0%</w:t>
            </w:r>
          </w:p>
        </w:tc>
      </w:tr>
    </w:tbl>
    <w:p>
      <w:pPr>
        <w:pStyle w:val="BodyText"/>
      </w:pPr>
      <w:r>
        <w:rPr>
          <w:iCs/>
          <w:i/>
        </w:rPr>
        <w:t xml:space="preserve">Note on Scope 1: For a product-level PCF with a factory_gate boundary, direct combustion emissions (Scope 1) from the production process itself are typically not allocated directly to the product unless specific process fuels are detailed. In this analysis, production energy is primarily electricity (Scope 2). Any minimal on-site fuel combustion for general factory operations would typically be part of the corporate inventory and not directly attributable to the functional unit without more granular data. Thus, Scope 1 is considered negligible for this product\'s PCF.</w:t>
      </w:r>
    </w:p>
    <w:bookmarkStart w:id="39" w:name="X504f4a86e01fdcfa46a4589bb1b5e0cfaad8629"/>
    <w:p>
      <w:pPr>
        <w:pStyle w:val="Heading4"/>
      </w:pPr>
      <w:r>
        <w:t xml:space="preserve">2026 Land Sector and Removals (LSR) Standard Update</w:t>
      </w:r>
    </w:p>
    <w:p>
      <w:pPr>
        <w:pStyle w:val="FirstParagraph"/>
      </w:pPr>
      <w:r>
        <w:t xml:space="preserve">The 2026 LSR Standard is designed to provide comprehensive guidance for accounting and reporting GHG emissions and removals from land use and land-use change. For itgqvsttzk, given the primary materials (metals, plastics, electronics, paper/cardboard) and the nature of the product, direct land sector emissions or removals are considered minimal and are not explicitly quantified in this analysis without specific data on bio-based materials or direct land-use change associated with raw material extraction. The standard\'s principles are acknowledged, and its applicability would be further explored if relevant land-intensive inputs were identified.</w:t>
      </w:r>
    </w:p>
    <w:bookmarkEnd w:id="39"/>
    <w:bookmarkStart w:id="40" w:name="scope-3-compliance-95-coverage"/>
    <w:p>
      <w:pPr>
        <w:pStyle w:val="Heading4"/>
      </w:pPr>
      <w:r>
        <w:t xml:space="preserve">Scope 3 Compliance (95% Coverage)</w:t>
      </w:r>
    </w:p>
    <w:p>
      <w:pPr>
        <w:pStyle w:val="FirstParagraph"/>
      </w:pPr>
      <w:r>
        <w:t xml:space="preserve">This analysis achieves at least 95% coverage for Scope 3 reporting, as per the 2026 requirements. All major upstream (material acquisition, inbound transport) and downstream (outbound transport, use phase, end-of-life) categories relevant to the product\'s life cycle have been comprehensively included in the calculations. The excluded emissions, if any, are considered de minimis, ensuring the robustness and completeness of the Scope 3 inventory.</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key-findings-and-hotspots"/>
    <w:p>
      <w:pPr>
        <w:pStyle w:val="Heading3"/>
      </w:pPr>
      <w:r>
        <w:t xml:space="preserve">Key Findings and Hotspots</w:t>
      </w:r>
    </w:p>
    <w:p>
      <w:pPr>
        <w:pStyle w:val="FirstParagraph"/>
      </w:pPr>
      <w:r>
        <w:t xml:space="preserve">The total Product Carbon Footprint for one functional unit of itgqvsttzk is approximately</w:t>
      </w:r>
      <w:r>
        <w:t xml:space="preserve"> </w:t>
      </w:r>
      <w:r>
        <w:rPr>
          <w:bCs/>
          <w:b/>
        </w:rPr>
        <w:t xml:space="preserve">12.17 kg CO2e</w:t>
      </w:r>
      <w:r>
        <w:t xml:space="preserve">. The analysis reveals the following hotspots:</w:t>
      </w:r>
    </w:p>
    <w:p>
      <w:pPr>
        <w:numPr>
          <w:ilvl w:val="0"/>
          <w:numId w:val="1018"/>
        </w:numPr>
        <w:pStyle w:val="Compact"/>
      </w:pPr>
      <w:r>
        <w:rPr>
          <w:bCs/>
          <w:b/>
        </w:rPr>
        <w:t xml:space="preserve">Use Phase (5.00 kg CO2e / 41.1%):</w:t>
      </w:r>
      <w:r>
        <w:t xml:space="preserve"> </w:t>
      </w:r>
      <w:r>
        <w:t xml:space="preserve">This is the most significant contributor, primarily driven by the energy consumption of the product over its lifespan (flrllsdvvt = 20 kWh) and the electricity grid mix of the assumed use region (Europe). Opportunities for reduction lie in improving energy efficiency of the product or promoting renewable energy adoption by end-users.</w:t>
      </w:r>
    </w:p>
    <w:p>
      <w:pPr>
        <w:numPr>
          <w:ilvl w:val="0"/>
          <w:numId w:val="1018"/>
        </w:numPr>
        <w:pStyle w:val="Compact"/>
      </w:pPr>
      <w:r>
        <w:rPr>
          <w:bCs/>
          <w:b/>
        </w:rPr>
        <w:t xml:space="preserve">Materials (3.91 kg CO2e / 32.1%):</w:t>
      </w:r>
      <w:r>
        <w:t xml:space="preserve"> </w:t>
      </w:r>
      <w:r>
        <w:t xml:space="preserve">The embodied emissions in raw materials, especially the circuit board and plastic components, represent a substantial portion of the footprint. Optimizing material selection (e.g., using recycled content, lower-impact alternatives) and reducing material usage are key leverage points.</w:t>
      </w:r>
    </w:p>
    <w:p>
      <w:pPr>
        <w:numPr>
          <w:ilvl w:val="0"/>
          <w:numId w:val="1018"/>
        </w:numPr>
        <w:pStyle w:val="Compact"/>
      </w:pPr>
      <w:r>
        <w:rPr>
          <w:bCs/>
          <w:b/>
        </w:rPr>
        <w:t xml:space="preserve">Production Energy (2.90 kg CO2e / 23.8%):</w:t>
      </w:r>
      <w:r>
        <w:t xml:space="preserve"> </w:t>
      </w:r>
      <w:r>
        <w:t xml:space="preserve">Emissions from manufacturing electricity consumption in China, despite pfiqqdynxy (50%) renewable energy usage, still contribute significantly. Increasing renewable energy sourcing at the production facility (beyond pfiqqdynxy) or improving energy efficiency in manufacturing processes would yield significant reductions.</w:t>
      </w:r>
    </w:p>
    <w:p>
      <w:pPr>
        <w:numPr>
          <w:ilvl w:val="0"/>
          <w:numId w:val="1018"/>
        </w:numPr>
        <w:pStyle w:val="Compact"/>
      </w:pPr>
      <w:r>
        <w:rPr>
          <w:bCs/>
          <w:b/>
        </w:rPr>
        <w:t xml:space="preserve">Transport (0.73 kg CO2e / 6.0%):</w:t>
      </w:r>
      <w:r>
        <w:t xml:space="preserve"> </w:t>
      </w:r>
      <w:r>
        <w:t xml:space="preserve">While less dominant than other phases, both inbound and outbound logistics contribute. Optimization of transport modes, routes, and maximizing payload efficiency could offer reductions.</w:t>
      </w:r>
    </w:p>
    <w:p>
      <w:pPr>
        <w:numPr>
          <w:ilvl w:val="0"/>
          <w:numId w:val="1018"/>
        </w:numPr>
        <w:pStyle w:val="Compact"/>
      </w:pPr>
      <w:r>
        <w:rPr>
          <w:bCs/>
          <w:b/>
        </w:rPr>
        <w:t xml:space="preserve">End-of-Life (-0.37 kg CO2e / -3.0%):</w:t>
      </w:r>
      <w:r>
        <w:t xml:space="preserve"> </w:t>
      </w:r>
      <w:r>
        <w:t xml:space="preserve">The recycling efforts (wfotvfwewe = 70%) and the presence of circular/take-back programs (fdsioirmiu) provide a net carbon benefit due to avoided virgin material production. Enhancing recyclability and expanding circular economy initiatives further could increase this positive impact.</w:t>
      </w:r>
    </w:p>
    <w:bookmarkEnd w:id="43"/>
    <w:bookmarkStart w:id="44" w:name="reliability-and-limitations"/>
    <w:p>
      <w:pPr>
        <w:pStyle w:val="Heading3"/>
      </w:pPr>
      <w:r>
        <w:t xml:space="preserve">Reliability and Limitations</w:t>
      </w:r>
    </w:p>
    <w:p>
      <w:pPr>
        <w:pStyle w:val="FirstParagraph"/>
      </w:pPr>
      <w:r>
        <w:t xml:space="preserve">This PCF analysis is based on a detailed methodology and uses specific primary data where available. However, certain limitations and assumptions are inherent:</w:t>
      </w:r>
    </w:p>
    <w:p>
      <w:pPr>
        <w:numPr>
          <w:ilvl w:val="0"/>
          <w:numId w:val="1019"/>
        </w:numPr>
        <w:pStyle w:val="Compact"/>
      </w:pPr>
      <w:r>
        <w:rPr>
          <w:bCs/>
          <w:b/>
        </w:rPr>
        <w:t xml:space="preserve">Data Availability:</w:t>
      </w:r>
      <w:r>
        <w:t xml:space="preserve"> </w:t>
      </w:r>
      <w:r>
        <w:t xml:space="preserve">While a detailed BOM (zwsnnros) and specific operational parameters (juuqnfpqqx, pfiqqdynxy, xhksgtszem, flrllsdvvt, wfotvfwewe, fdsioirmiu) were provided, some emission factors (e.g., for general grid electricity, transport, EoL processes) are based on industry-standard secondary databases (e.g., Ecoinvent/DEFRA equivalents) and represent averages. Product-specific primary data for all upstream and downstream processes would enhance accuracy further.</w:t>
      </w:r>
    </w:p>
    <w:p>
      <w:pPr>
        <w:numPr>
          <w:ilvl w:val="0"/>
          <w:numId w:val="1019"/>
        </w:numPr>
        <w:pStyle w:val="Compact"/>
      </w:pPr>
      <w:r>
        <w:rPr>
          <w:bCs/>
          <w:b/>
        </w:rPr>
        <w:t xml:space="preserve">Geographic Specificity:</w:t>
      </w:r>
      <w:r>
        <w:t xml:space="preserve"> </w:t>
      </w:r>
      <w:r>
        <w:t xml:space="preserve">General European average emission factors were used for the use phase due to the lack of a specific end-user geographic market. More precise regional data would improve accuracy.</w:t>
      </w:r>
    </w:p>
    <w:p>
      <w:pPr>
        <w:numPr>
          <w:ilvl w:val="0"/>
          <w:numId w:val="1019"/>
        </w:numPr>
        <w:pStyle w:val="Compact"/>
      </w:pPr>
      <w:r>
        <w:rPr>
          <w:bCs/>
          <w:b/>
        </w:rPr>
        <w:t xml:space="preserve">Transport Assumptions:</w:t>
      </w:r>
      <w:r>
        <w:t xml:space="preserve"> </w:t>
      </w:r>
      <w:r>
        <w:t xml:space="preserve">Specific transport modes and distances were assumed for parts of the supply chain (e.g., "Select Mode" as Ocean + Road, "Delivery Type" as LCV, fpvokouvvr interpreted as 15,000 km long-haul and 500 km local) where explicit detail was not provided, relying on typical industry practices.</w:t>
      </w:r>
    </w:p>
    <w:p>
      <w:pPr>
        <w:numPr>
          <w:ilvl w:val="0"/>
          <w:numId w:val="1019"/>
        </w:numPr>
        <w:pStyle w:val="Compact"/>
      </w:pPr>
      <w:r>
        <w:rPr>
          <w:bCs/>
          <w:b/>
        </w:rPr>
        <w:t xml:space="preserve">Dynamic Nature:</w:t>
      </w:r>
      <w:r>
        <w:t xml:space="preserve"> </w:t>
      </w:r>
      <w:r>
        <w:t xml:space="preserve">Emission factors and energy mixes evolve. This report reflects current best available data and factors.</w:t>
      </w:r>
    </w:p>
    <w:p>
      <w:pPr>
        <w:numPr>
          <w:ilvl w:val="0"/>
          <w:numId w:val="1019"/>
        </w:numPr>
        <w:pStyle w:val="Compact"/>
      </w:pPr>
      <w:r>
        <w:rPr>
          <w:bCs/>
          <w:b/>
        </w:rPr>
        <w:t xml:space="preserve">LSR Standard:</w:t>
      </w:r>
      <w:r>
        <w:t xml:space="preserve"> </w:t>
      </w:r>
      <w:r>
        <w:t xml:space="preserve">Direct application of the 2026 LSR Standard was not extensively detailed due to the product\'s characteristics; no significant bio-based materials or direct land-use changes were identified as primary drivers for the product.</w:t>
      </w:r>
    </w:p>
    <w:bookmarkEnd w:id="44"/>
    <w:bookmarkStart w:id="45" w:name="recommendations-for-improvement"/>
    <w:p>
      <w:pPr>
        <w:pStyle w:val="Heading3"/>
      </w:pPr>
      <w:r>
        <w:t xml:space="preserve">Recommendations for Improvement</w:t>
      </w:r>
    </w:p>
    <w:p>
      <w:pPr>
        <w:numPr>
          <w:ilvl w:val="0"/>
          <w:numId w:val="1020"/>
        </w:numPr>
        <w:pStyle w:val="Compact"/>
      </w:pPr>
      <w:r>
        <w:rPr>
          <w:bCs/>
          <w:b/>
        </w:rPr>
        <w:t xml:space="preserve">Energy Efficiency in Use:</w:t>
      </w:r>
      <w:r>
        <w:t xml:space="preserve"> </w:t>
      </w:r>
      <w:r>
        <w:t xml:space="preserve">Invest in R&amp;D to drastically reduce the energy consumption of itgqvsttzk during its operational lifespan.</w:t>
      </w:r>
    </w:p>
    <w:p>
      <w:pPr>
        <w:numPr>
          <w:ilvl w:val="0"/>
          <w:numId w:val="1020"/>
        </w:numPr>
        <w:pStyle w:val="Compact"/>
      </w:pPr>
      <w:r>
        <w:rPr>
          <w:bCs/>
          <w:b/>
        </w:rPr>
        <w:t xml:space="preserve">Sustainable Material Sourcing:</w:t>
      </w:r>
      <w:r>
        <w:t xml:space="preserve"> </w:t>
      </w:r>
      <w:r>
        <w:t xml:space="preserve">Explore alternative, lower-carbon materials for the circuit board and plastic housing, including recycled content and bio-based plastics, where feasible.</w:t>
      </w:r>
    </w:p>
    <w:p>
      <w:pPr>
        <w:numPr>
          <w:ilvl w:val="0"/>
          <w:numId w:val="1020"/>
        </w:numPr>
        <w:pStyle w:val="Compact"/>
      </w:pPr>
      <w:r>
        <w:rPr>
          <w:bCs/>
          <w:b/>
        </w:rPr>
        <w:t xml:space="preserve">Renewable Energy Procurement:</w:t>
      </w:r>
      <w:r>
        <w:t xml:space="preserve"> </w:t>
      </w:r>
      <w:r>
        <w:t xml:space="preserve">Increase the percentage of renewable energy (beyond pfiqqdynxy) at the manufacturing facility in China through direct procurement, PPAs, or renewable energy credits.</w:t>
      </w:r>
    </w:p>
    <w:p>
      <w:pPr>
        <w:numPr>
          <w:ilvl w:val="0"/>
          <w:numId w:val="1020"/>
        </w:numPr>
        <w:pStyle w:val="Compact"/>
      </w:pPr>
      <w:r>
        <w:rPr>
          <w:bCs/>
          <w:b/>
        </w:rPr>
        <w:t xml:space="preserve">Circular Economy Strategies:</w:t>
      </w:r>
      <w:r>
        <w:t xml:space="preserve"> </w:t>
      </w:r>
      <w:r>
        <w:t xml:space="preserve">Enhance design for disassembly, repairability, and further improve take-back and recycling programs (fdsioirmiu) to maximize the positive impact of the end-of-life phase.</w:t>
      </w:r>
    </w:p>
    <w:p>
      <w:pPr>
        <w:numPr>
          <w:ilvl w:val="0"/>
          <w:numId w:val="1020"/>
        </w:numPr>
        <w:pStyle w:val="Compact"/>
      </w:pPr>
      <w:r>
        <w:rPr>
          <w:bCs/>
          <w:b/>
        </w:rPr>
        <w:t xml:space="preserve">Supply Chain Engagement:</w:t>
      </w:r>
      <w:r>
        <w:t xml:space="preserve"> </w:t>
      </w:r>
      <w:r>
        <w:t xml:space="preserve">Work with suppliers to obtain more specific, primary data on their operational emissions and to encourage their decarbonization efforts.</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itgqvsttzk</dc:title>
  <dc:creator/>
  <dc:description>Detailed Product Carbon Footprint (PCF) analysis for itgqvsttzk by vkkkvqeddf, Senior Sustainability Consultant at nqnxlgextd, adhering to GHG Protocol and 2026 LSR update.</dc:description>
  <cp:keywords/>
  <dcterms:created xsi:type="dcterms:W3CDTF">2026-07-15T07:04:54Z</dcterms:created>
  <dcterms:modified xsi:type="dcterms:W3CDTF">2026-07-15T07:04:54Z</dcterms:modified>
</cp:coreProperties>
</file>

<file path=docProps/custom.xml><?xml version="1.0" encoding="utf-8"?>
<Properties xmlns="http://schemas.openxmlformats.org/officeDocument/2006/custom-properties" xmlns:vt="http://schemas.openxmlformats.org/officeDocument/2006/docPropsVTypes"/>
</file>