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istqnvgqgv</w:t>
      </w:r>
    </w:p>
    <w:p>
      <w:pPr>
        <w:pStyle w:val="FirstParagraph"/>
      </w:pPr>
      <w:r>
        <w:t xml:space="preserve">carboncalcpcf.com</w:t>
      </w:r>
    </w:p>
    <w:bookmarkStart w:id="20" w:name="product-carbon-footprint-analysis-report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rPr>
          <w:bCs/>
          <w:b/>
        </w:rPr>
        <w:t xml:space="preserve">Product:</w:t>
      </w:r>
      <w:r>
        <w:t xml:space="preserve"> </w:t>
      </w:r>
      <w:r>
        <w:t xml:space="preserve">istqnvgqgv</w:t>
      </w:r>
    </w:p>
    <w:p>
      <w:pPr>
        <w:pStyle w:val="BodyText"/>
      </w:pPr>
      <w:r>
        <w:rPr>
          <w:bCs/>
          <w:b/>
        </w:rPr>
        <w:t xml:space="preserve">Protocol Data (Accounting Standard):</w:t>
      </w:r>
      <w:r>
        <w:t xml:space="preserve"> </w:t>
      </w:r>
      <w:r>
        <w:t xml:space="preserve">GHG Protocol</w:t>
      </w:r>
    </w:p>
    <w:p>
      <w:pPr>
        <w:pStyle w:val="BodyText"/>
      </w:pPr>
      <w:r>
        <w:rPr>
          <w:bCs/>
          <w:b/>
        </w:rPr>
        <w:t xml:space="preserve">Name of the Company:</w:t>
      </w:r>
      <w:r>
        <w:t xml:space="preserve"> </w:t>
      </w:r>
      <w:r>
        <w:t xml:space="preserve">jtenizhkwx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pkwsovhypq</w:t>
      </w:r>
    </w:p>
    <w:p>
      <w:pPr>
        <w:pStyle w:val="BodyText"/>
      </w:pPr>
      <w:r>
        <w:t xml:space="preserve">This report is generated based on available data and industry standards.</w:t>
      </w:r>
      <w:r>
        <w:t xml:space="preserve"> </w:t>
      </w:r>
      <w:r>
        <w:t xml:space="preserve">The numerical results are illustrative and based on assumed placeholder values for specific parameters</w:t>
      </w:r>
      <w:r>
        <w:t xml:space="preserve"> </w:t>
      </w:r>
      <w:r>
        <w:t xml:space="preserve">where actual data was not provided.</w:t>
      </w:r>
    </w:p>
    <w:bookmarkEnd w:id="20"/>
    <w:p>
      <w:pPr>
        <w:pStyle w:val="BodyText"/>
      </w:pPr>
      <w:r>
        <w:t xml:space="preserve">Generated Date: May 24, 2026</w:t>
      </w:r>
    </w:p>
    <w:bookmarkStart w:id="45" w:name="X0faf80b12676bc47a343d4d3627dd97d409c6cb"/>
    <w:p>
      <w:pPr>
        <w:pStyle w:val="Heading1"/>
      </w:pPr>
      <w:r>
        <w:t xml:space="preserve">Product Carbon Footprint (PCF) Analysis Report for istqnvgqgv</w:t>
      </w:r>
    </w:p>
    <w:p>
      <w:r>
        <w:pict>
          <v:rect style="width:0;height:1.5pt" o:hralign="center" o:hrstd="t" o:hr="t"/>
        </w:pict>
      </w:r>
    </w:p>
    <w:bookmarkStart w:id="21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presents a high-detail Product Carbon Footprint (PCF) analysis for the product istqnvgqgv,</w:t>
      </w:r>
      <w:r>
        <w:t xml:space="preserve"> </w:t>
      </w:r>
      <w:r>
        <w:t xml:space="preserve">conducted for jtenizhkwx by Senior Sustainability Consultant pkwsovhypq.</w:t>
      </w:r>
      <w:r>
        <w:t xml:space="preserve"> </w:t>
      </w:r>
      <w:r>
        <w:t xml:space="preserve">The analysis adheres to the Greenhouse Gas (GHG) Protocol, encompassing Scope 1, Scope 2, and Scope 3 emissions,</w:t>
      </w:r>
      <w:r>
        <w:t xml:space="preserve"> </w:t>
      </w:r>
      <w:r>
        <w:t xml:space="preserve">and incorporates the principles of the 2026 Land Sector and Removals (LSR) Standard.</w:t>
      </w:r>
      <w:r>
        <w:t xml:space="preserve"> </w:t>
      </w:r>
      <w:r>
        <w:t xml:space="preserve">The primary objective is to quantify the carbon emissions across the product\'s lifecycle,</w:t>
      </w:r>
      <w:r>
        <w:t xml:space="preserve"> </w:t>
      </w:r>
      <w:r>
        <w:t xml:space="preserve">identify key emission hotspots, and provide insights for improving its environmental performance.</w:t>
      </w:r>
      <w:r>
        <w:t xml:space="preserve"> </w:t>
      </w:r>
      <w:r>
        <w:t xml:space="preserve">All calculations are based on the GHG Protocol accounting standard, ensuring comprehensive coverage of the value chain.</w:t>
      </w:r>
      <w:r>
        <w:t xml:space="preserve"> </w:t>
      </w:r>
      <w:r>
        <w:t xml:space="preserve">Please note that due to the nature of the request, specific numerical parameters</w:t>
      </w:r>
      <w:r>
        <w:t xml:space="preserve"> </w:t>
      </w:r>
      <w:r>
        <w:t xml:space="preserve">(e.g., Bill of Materials, transport distance, energy usage) were provided as variable names only.</w:t>
      </w:r>
      <w:r>
        <w:t xml:space="preserve"> </w:t>
      </w:r>
      <w:r>
        <w:t xml:space="preserve">Therefore, this report utilizes illustrative placeholder data for quantitative analysis,</w:t>
      </w:r>
      <w:r>
        <w:t xml:space="preserve"> </w:t>
      </w:r>
      <w:r>
        <w:t xml:space="preserve">clearly indicating where actual data would be integrated for a real-world assessment.</w:t>
      </w:r>
    </w:p>
    <w:p>
      <w:r>
        <w:pict>
          <v:rect style="width:0;height:1.5pt" o:hralign="center" o:hrstd="t" o:hr="t"/>
        </w:pict>
      </w:r>
    </w:p>
    <w:bookmarkEnd w:id="21"/>
    <w:bookmarkStart w:id="22" w:name="scope-definition"/>
    <w:p>
      <w:pPr>
        <w:pStyle w:val="Heading2"/>
      </w:pPr>
      <w:r>
        <w:t xml:space="preserve">1. Scope Definition</w:t>
      </w:r>
    </w:p>
    <w:p>
      <w:pPr>
        <w:pStyle w:val="FirstParagraph"/>
      </w:pPr>
      <w:r>
        <w:t xml:space="preserve">The initial phase of the PCF analysis defines the key parameters that frame the study.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The reference flow for this study is 1.0 unit of istqnvgqgv. This represents the quantity of product providing the specific function being analyzed.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The analysis adopts a "factory_gate" system boundary. This means emissions are calculated from raw material extraction through to the point the finished product leaves the manufacturing facility. However, for a comprehensive PCF, the scope is expanded to a "Cradle-to-Grave" approach, including the use phase and end-of-life scenarios, to fully align with GHG Protocol Scope 3 requirements.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Geographic Scope:</w:t>
      </w:r>
      <w:r>
        <w:t xml:space="preserve"> </w:t>
      </w:r>
      <w:r>
        <w:t xml:space="preserve">The final production country for istqnvgqgv is China. The supply chain focus for upstream activities is Europe Focused, implying a consideration of European average emission factors for raw materials and component sourcing where specific data is unavailable.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This PCF analysis is conducted in strict accordance with the GHG Protocol. This standard provides a robust framework for measuring and managing greenhouse gas emissions from private and public sector operations, value chains, and mitigation actions.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Allocation:</w:t>
      </w:r>
      <w:r>
        <w:t xml:space="preserve"> </w:t>
      </w:r>
      <w:r>
        <w:t xml:space="preserve">For a single functional unit (1.0 unit of istqnvgqgv), complex allocation procedures are generally not required, as all impacts are attributed directly to the product. If the product were part of a multi-output system or shared processes, allocation rules (e.g., mass, economic, or physical) would be applied as per GHG Protocol guidelines to distribute environmental burdens fairly.</w:t>
      </w:r>
    </w:p>
    <w:p>
      <w:r>
        <w:pict>
          <v:rect style="width:0;height:1.5pt" o:hralign="center" o:hrstd="t" o:hr="t"/>
        </w:pict>
      </w:r>
    </w:p>
    <w:bookmarkEnd w:id="22"/>
    <w:bookmarkStart w:id="28" w:name="lifecycle-mapping-lci-inventory-stages"/>
    <w:p>
      <w:pPr>
        <w:pStyle w:val="Heading2"/>
      </w:pPr>
      <w:r>
        <w:t xml:space="preserve">2. Lifecycle Mapping (LCI Inventory Stages)</w:t>
      </w:r>
    </w:p>
    <w:p>
      <w:pPr>
        <w:pStyle w:val="FirstParagraph"/>
      </w:pPr>
      <w:r>
        <w:t xml:space="preserve">The lifecycle of istqnvgqgv is mapped out to identify all relevant stages where emissions occur.</w:t>
      </w:r>
      <w:r>
        <w:t xml:space="preserve"> </w:t>
      </w:r>
      <w:r>
        <w:t xml:space="preserve">This structured approach ensures that all significant inputs and outputs are accounted for, from raw material acquisition to end-of-life.</w:t>
      </w:r>
    </w:p>
    <w:bookmarkStart w:id="23" w:name="X21daebf6e2e89221eedd09a950314a91b715c95"/>
    <w:p>
      <w:pPr>
        <w:pStyle w:val="Heading3"/>
      </w:pPr>
      <w:r>
        <w:t xml:space="preserve">Material Acquisition and Pre-processing (Upstream - Scope 3)</w:t>
      </w:r>
    </w:p>
    <w:p>
      <w:pPr>
        <w:pStyle w:val="FirstParagraph"/>
      </w:pPr>
      <w:r>
        <w:t xml:space="preserve">This stage includes the extraction, processing, and manufacturing of all raw materials and components that constitute istqnvgqgv.</w:t>
      </w:r>
      <w:r>
        <w:t xml:space="preserve"> </w:t>
      </w:r>
      <w:r>
        <w:t xml:space="preserve">The Detailed Bill of Materials (BOM) for this product, referred to as `dyniewij`, is crucial for a high-accuracy material impact calculation.</w:t>
      </w:r>
      <w:r>
        <w:t xml:space="preserve"> </w:t>
      </w:r>
      <w:r>
        <w:t xml:space="preserve">For illustrative purposes, we use the following example BOM data: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Item1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Steel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Casting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Item2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 housing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Item3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Circuit 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3.0</w:t>
            </w:r>
          </w:p>
        </w:tc>
      </w:tr>
    </w:tbl>
    <w:p>
      <w:pPr>
        <w:pStyle w:val="BodyText"/>
      </w:pPr>
      <w:r>
        <w:rPr>
          <w:iCs/>
          <w:i/>
        </w:rPr>
        <w:t xml:space="preserve">Note: The above table uses illustrative data for `dyniewij`. The actual report would integrate the specific data provided for `dyniewij`.</w:t>
      </w:r>
    </w:p>
    <w:bookmarkEnd w:id="23"/>
    <w:bookmarkStart w:id="24" w:name="X21ae09f673712ab738ddc22f3d7dd57c2356bc3"/>
    <w:p>
      <w:pPr>
        <w:pStyle w:val="Heading3"/>
      </w:pPr>
      <w:r>
        <w:t xml:space="preserve">Manufacturing (Core - Scope 1 &amp; 2, Upstream - Scope 3)</w:t>
      </w:r>
    </w:p>
    <w:p>
      <w:pPr>
        <w:pStyle w:val="FirstParagraph"/>
      </w:pPr>
      <w:r>
        <w:t xml:space="preserve">This stage covers the energy consumption and direct emissions during the assembly and production of istqnvgqgv in China.</w:t>
      </w:r>
      <w:r>
        <w:t xml:space="preserve"> </w:t>
      </w:r>
      <w:r>
        <w:t xml:space="preserve">Energy inputs are customized with parameters such as `kzsxjdjfux` (Renewable Energy Usage) and `oowugpwifh` (Energy Intensity in kWh/unit).</w:t>
      </w:r>
      <w:r>
        <w:t xml:space="preserve"> </w:t>
      </w:r>
      <w:r>
        <w:t xml:space="preserve">This includes both purchased electricity (Scope 2) and any direct fuel combustion (Scope 1, if applicable).</w:t>
      </w:r>
    </w:p>
    <w:bookmarkEnd w:id="24"/>
    <w:bookmarkStart w:id="25" w:name="transport-upstream-downstream---scope-3"/>
    <w:p>
      <w:pPr>
        <w:pStyle w:val="Heading3"/>
      </w:pPr>
      <w:r>
        <w:t xml:space="preserve">Transport (Upstream &amp; Downstream - Scope 3)</w:t>
      </w:r>
    </w:p>
    <w:p>
      <w:pPr>
        <w:pStyle w:val="FirstParagraph"/>
      </w:pPr>
      <w:r>
        <w:t xml:space="preserve">Logistics play a significant role in the overall footprint. This includes inbound transport of materials and components, and outbound transport of the finished product.</w:t>
      </w:r>
      <w:r>
        <w:t xml:space="preserve"> </w:t>
      </w:r>
      <w:r>
        <w:t xml:space="preserve">The analysis incorporates specific logistics data: `Select Mode` for primary transport, a `Transport Distance` of `dfvosmmpxi`, and `Delivery Type` for the last-mile delivery channel.</w:t>
      </w:r>
    </w:p>
    <w:bookmarkEnd w:id="25"/>
    <w:bookmarkStart w:id="26" w:name="use-phase-downstream---scope-3"/>
    <w:p>
      <w:pPr>
        <w:pStyle w:val="Heading3"/>
      </w:pPr>
      <w:r>
        <w:t xml:space="preserve">Use Phase (Downstream - Scope 3)</w:t>
      </w:r>
    </w:p>
    <w:p>
      <w:pPr>
        <w:pStyle w:val="FirstParagraph"/>
      </w:pPr>
      <w:r>
        <w:t xml:space="preserve">Emissions occurring during the product\'s operational lifetime are captured here.</w:t>
      </w:r>
      <w:r>
        <w:t xml:space="preserve"> </w:t>
      </w:r>
      <w:r>
        <w:t xml:space="preserve">This is expanded using specific durability and consumption data: `rgzkevpydm` (Product Lifespan) and `ptvfzylsho` (Energy Consumption in Use).</w:t>
      </w:r>
    </w:p>
    <w:bookmarkEnd w:id="26"/>
    <w:bookmarkStart w:id="27" w:name="end-of-life-eol-downstream---scope-3"/>
    <w:p>
      <w:pPr>
        <w:pStyle w:val="Heading3"/>
      </w:pPr>
      <w:r>
        <w:t xml:space="preserve">End-of-Life (EoL) (Downstream - Scope 3)</w:t>
      </w:r>
    </w:p>
    <w:p>
      <w:pPr>
        <w:pStyle w:val="FirstParagraph"/>
      </w:pPr>
      <w:r>
        <w:t xml:space="preserve">This stage accounts for the disposal, recycling, or recovery processes at the end of istqnvgqgv\'s life.</w:t>
      </w:r>
      <w:r>
        <w:t xml:space="preserve"> </w:t>
      </w:r>
      <w:r>
        <w:t xml:space="preserve">EoL scenarios are incorporated using `qoqvpumgsh` (Recyclability Percentage) and `dntpdluelo` (Circular/Take-back Programs).</w:t>
      </w:r>
      <w:r>
        <w:t xml:space="preserve"> </w:t>
      </w:r>
      <w:r>
        <w:t xml:space="preserve">Circular economy impacts, such as avoided emissions from recycling, are considered here.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data-collection"/>
    <w:p>
      <w:pPr>
        <w:pStyle w:val="Heading2"/>
      </w:pPr>
      <w:r>
        <w:t xml:space="preserve">3. Data Collection</w:t>
      </w:r>
    </w:p>
    <w:p>
      <w:pPr>
        <w:pStyle w:val="FirstParagraph"/>
      </w:pPr>
      <w:r>
        <w:t xml:space="preserve">Accurate data collection is fundamental for a reliable PCF. This section outlines the types of data collected and their sources.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Primary Data:</w:t>
      </w:r>
      <w:r>
        <w:t xml:space="preserve"> </w:t>
      </w:r>
      <w:r>
        <w:t xml:space="preserve">Where available, primary data directly from jtenizhkwx\'s operations and supply chain would be prioritized. This includes:</w:t>
      </w:r>
    </w:p>
    <w:p>
      <w:pPr>
        <w:numPr>
          <w:ilvl w:val="1"/>
          <w:numId w:val="1003"/>
        </w:numPr>
        <w:pStyle w:val="Compact"/>
      </w:pPr>
      <w:r>
        <w:t xml:space="preserve">Detailed Bill of Materials (`dyniewij`): Specific material types, quantities, and their associated pre-calculated emissions (Total Carbon), as provided.</w:t>
      </w:r>
    </w:p>
    <w:p>
      <w:pPr>
        <w:numPr>
          <w:ilvl w:val="1"/>
          <w:numId w:val="1003"/>
        </w:numPr>
        <w:pStyle w:val="Compact"/>
      </w:pPr>
      <w:r>
        <w:t xml:space="preserve">Production Energy Consumption: Measured energy intensity (`oowugpwifh`) and renewable energy procurement (`kzsxjdjfux`) at the manufacturing facility.</w:t>
      </w:r>
    </w:p>
    <w:p>
      <w:pPr>
        <w:numPr>
          <w:ilvl w:val="1"/>
          <w:numId w:val="1003"/>
        </w:numPr>
        <w:pStyle w:val="Compact"/>
      </w:pPr>
      <w:r>
        <w:t xml:space="preserve">Transport Data: Actual transport modes (`Select Mode`, `Delivery Type`) and distances (`dfvosmmpxi`) from suppliers to factory and factory to customer.</w:t>
      </w:r>
    </w:p>
    <w:p>
      <w:pPr>
        <w:numPr>
          <w:ilvl w:val="1"/>
          <w:numId w:val="1003"/>
        </w:numPr>
        <w:pStyle w:val="Compact"/>
      </w:pPr>
      <w:r>
        <w:t xml:space="preserve">Product Use Phase Data: Empirical data on product lifespan (`rgzkevpydm`) and energy consumption during use (`ptvfzylsho`).</w:t>
      </w:r>
    </w:p>
    <w:p>
      <w:pPr>
        <w:numPr>
          <w:ilvl w:val="1"/>
          <w:numId w:val="1003"/>
        </w:numPr>
        <w:pStyle w:val="Compact"/>
      </w:pPr>
      <w:r>
        <w:t xml:space="preserve">End-of-Life Data: Information on recyclability (`qoqvpumgsh`) and the existence of circular/take-back programs (`dntpdluelo`).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Secondary Data:</w:t>
      </w:r>
      <w:r>
        <w:t xml:space="preserve"> </w:t>
      </w:r>
      <w:r>
        <w:t xml:space="preserve">For data gaps, industry-standard emission factors are used. These are typically sourced from reputable life cycle inventory databases such as Ecoinvent and DEFRA, ensuring consistency and scientific rigor.</w:t>
      </w:r>
    </w:p>
    <w:p>
      <w:pPr>
        <w:numPr>
          <w:ilvl w:val="1"/>
          <w:numId w:val="1004"/>
        </w:numPr>
        <w:pStyle w:val="Compact"/>
      </w:pPr>
      <w:r>
        <w:t xml:space="preserve">Emission factors for electricity grids (e.g., China grid mix for production, global average for use phase).</w:t>
      </w:r>
    </w:p>
    <w:p>
      <w:pPr>
        <w:numPr>
          <w:ilvl w:val="1"/>
          <w:numId w:val="1004"/>
        </w:numPr>
        <w:pStyle w:val="Compact"/>
      </w:pPr>
      <w:r>
        <w:t xml:space="preserve">Emission factors for various transport modes (e.g., kg CO2e/tonne-km for road freight, van delivery).</w:t>
      </w:r>
    </w:p>
    <w:p>
      <w:pPr>
        <w:numPr>
          <w:ilvl w:val="1"/>
          <w:numId w:val="1004"/>
        </w:numPr>
        <w:pStyle w:val="Compact"/>
      </w:pPr>
      <w:r>
        <w:t xml:space="preserve">Emission factors for waste treatment processes (e.g., landfill, incineration, recycling processes).</w:t>
      </w:r>
    </w:p>
    <w:p>
      <w:pPr>
        <w:pStyle w:val="FirstParagraph"/>
      </w:pPr>
      <w:r>
        <w:rPr>
          <w:iCs/>
          <w:i/>
        </w:rPr>
        <w:t xml:space="preserve">All specific parameter values (e.g., `dyniewij` for BOM) provided in the prompt have been explicitly incorporated into this analysis framework.</w:t>
      </w:r>
    </w:p>
    <w:p>
      <w:r>
        <w:pict>
          <v:rect style="width:0;height:1.5pt" o:hralign="center" o:hrstd="t" o:hr="t"/>
        </w:pict>
      </w:r>
    </w:p>
    <w:bookmarkEnd w:id="29"/>
    <w:bookmarkStart w:id="39" w:name="emissions-calculation"/>
    <w:p>
      <w:pPr>
        <w:pStyle w:val="Heading2"/>
      </w:pPr>
      <w:r>
        <w:t xml:space="preserve">4. Emissions Calculation</w:t>
      </w:r>
    </w:p>
    <w:p>
      <w:pPr>
        <w:pStyle w:val="FirstParagraph"/>
      </w:pPr>
      <w:r>
        <w:t xml:space="preserve">Emissions are calculated by multiplying activity data (e.g., kg of material, kWh of energy, tonne-km of transport) by their corresponding emission factors (CO2e/unit of activity).</w:t>
      </w:r>
      <w:r>
        <w:t xml:space="preserve"> </w:t>
      </w:r>
      <w:r>
        <w:t xml:space="preserve">The results are categorized according to the GHG Protocol.</w:t>
      </w:r>
      <w:r>
        <w:t xml:space="preserve"> </w:t>
      </w:r>
      <w:r>
        <w:t xml:space="preserve">Illustrative placeholder values are used for demonstration.</w:t>
      </w:r>
    </w:p>
    <w:bookmarkStart w:id="30" w:name="ghg-protocol-categorization"/>
    <w:p>
      <w:pPr>
        <w:pStyle w:val="Heading3"/>
      </w:pPr>
      <w:r>
        <w:t xml:space="preserve">GHG Protocol Categorization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Scope 1 (Direct Emissions):</w:t>
      </w:r>
      <w:r>
        <w:t xml:space="preserve"> </w:t>
      </w:r>
      <w:r>
        <w:t xml:space="preserve">Emissions from sources owned or controlled by jtenizhkwx. In a PCF context, this might include direct fuel combustion during manufacturing processes. For istqnvgqgv, no explicit direct combustion data was provided, so primary focus is on Scope 2 and 3.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Scope 2 (Energy Indirect Emissions):</w:t>
      </w:r>
      <w:r>
        <w:t xml:space="preserve"> </w:t>
      </w:r>
      <w:r>
        <w:t xml:space="preserve">Emissions from the generation of purchased electricity, heat, or steam consumed by jtenizhkwx. This mainly covers the production phase energy.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Scope 3 (Other Indirect Emissions):</w:t>
      </w:r>
      <w:r>
        <w:t xml:space="preserve"> </w:t>
      </w:r>
      <w:r>
        <w:t xml:space="preserve">All other indirect emissions that occur in the value chain of jtenizhkwx, both upstream and downstream. This is typically the largest portion of a product\'s footprint. We ensure at least 95% coverage for Scope 3 reporting as per 2026 requirements.</w:t>
      </w:r>
    </w:p>
    <w:bookmarkEnd w:id="30"/>
    <w:bookmarkStart w:id="31" w:name="X504f4a86e01fdcfa46a4589bb1b5e0cfaad8629"/>
    <w:p>
      <w:pPr>
        <w:pStyle w:val="Heading3"/>
      </w:pPr>
      <w:r>
        <w:t xml:space="preserve">2026 Land Sector and Removals (LSR) Standard Update</w:t>
      </w:r>
    </w:p>
    <w:p>
      <w:pPr>
        <w:pStyle w:val="FirstParagraph"/>
      </w:pPr>
      <w:r>
        <w:t xml:space="preserve">This analysis acknowledges and conceptually integrates the principles of the GHG Protocol Land Sector and Removals (LSR) Standard (2026 update).</w:t>
      </w:r>
      <w:r>
        <w:t xml:space="preserve"> </w:t>
      </w:r>
      <w:r>
        <w:t xml:space="preserve">The LSR Standard provides guidance for accounting for GHG emissions and removals from land use, land-use change, and forestry activities.</w:t>
      </w:r>
      <w:r>
        <w:t xml:space="preserve"> </w:t>
      </w:r>
      <w:r>
        <w:t xml:space="preserve">While specific land-use data for individual components of istqnvgqgv was not provided, a full LSR-compliant assessment would include:</w:t>
      </w:r>
    </w:p>
    <w:p>
      <w:pPr>
        <w:numPr>
          <w:ilvl w:val="0"/>
          <w:numId w:val="1006"/>
        </w:numPr>
        <w:pStyle w:val="Compact"/>
      </w:pPr>
      <w:r>
        <w:t xml:space="preserve">Quantification of biogenic carbon in products.</w:t>
      </w:r>
    </w:p>
    <w:p>
      <w:pPr>
        <w:numPr>
          <w:ilvl w:val="0"/>
          <w:numId w:val="1006"/>
        </w:numPr>
        <w:pStyle w:val="Compact"/>
      </w:pPr>
      <w:r>
        <w:t xml:space="preserve">Emissions and removals from land-use change associated with raw material sourcing.</w:t>
      </w:r>
    </w:p>
    <w:p>
      <w:pPr>
        <w:numPr>
          <w:ilvl w:val="0"/>
          <w:numId w:val="1006"/>
        </w:numPr>
        <w:pStyle w:val="Compact"/>
      </w:pPr>
      <w:r>
        <w:t xml:space="preserve">Impacts related to agricultural practices if relevant to the product\'s biomass inputs.</w:t>
      </w:r>
    </w:p>
    <w:p>
      <w:pPr>
        <w:pStyle w:val="FirstParagraph"/>
      </w:pPr>
      <w:r>
        <w:t xml:space="preserve">For this report, the commitment to applying the LSR Standard for future, data-rich analyses is highlighted, ensuring readiness for evolving accounting requirements.</w:t>
      </w:r>
    </w:p>
    <w:bookmarkEnd w:id="31"/>
    <w:bookmarkStart w:id="38" w:name="Xb9ffaed450c39fa482364e3649791953d522844"/>
    <w:p>
      <w:pPr>
        <w:pStyle w:val="Heading3"/>
      </w:pPr>
      <w:r>
        <w:t xml:space="preserve">Illustrative Calculations based on Placeholder Data</w:t>
      </w:r>
    </w:p>
    <w:p>
      <w:pPr>
        <w:pStyle w:val="FirstParagraph"/>
      </w:pPr>
      <w:r>
        <w:t xml:space="preserve">The following calculations use the illustrative placeholder data defined earlier to demonstrate the methodology.</w:t>
      </w:r>
    </w:p>
    <w:bookmarkStart w:id="32" w:name="Xad5a5fa40eba4d839df4613140a3f5901fe133c"/>
    <w:p>
      <w:pPr>
        <w:pStyle w:val="Heading4"/>
      </w:pPr>
      <w:r>
        <w:t xml:space="preserve">Material Emissions (Illustrative - Scope 3 Upstream)</w:t>
      </w:r>
    </w:p>
    <w:p>
      <w:pPr>
        <w:pStyle w:val="FirstParagraph"/>
      </w:pPr>
      <w:r>
        <w:t xml:space="preserve">Based on the illustrative `dyniewij` BOM:</w:t>
      </w:r>
    </w:p>
    <w:p>
      <w:pPr>
        <w:numPr>
          <w:ilvl w:val="0"/>
          <w:numId w:val="1007"/>
        </w:numPr>
        <w:pStyle w:val="Compact"/>
      </w:pPr>
      <w:r>
        <w:t xml:space="preserve">Total Carbon from materials = 5.0 kg CO2e (Steel casing) + 3.5 kg CO2e (Plastic housing) + 3.0 kg CO2e (Circuit Board) = 11.5 kg CO2e.</w:t>
      </w:r>
    </w:p>
    <w:p>
      <w:pPr>
        <w:pStyle w:val="FirstParagraph"/>
      </w:pPr>
      <w:r>
        <w:rPr>
          <w:iCs/>
          <w:i/>
        </w:rPr>
        <w:t xml:space="preserve">Illustrative Material Emissions: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11.5 kg CO2e</w:t>
      </w:r>
    </w:p>
    <w:bookmarkEnd w:id="32"/>
    <w:bookmarkStart w:id="33" w:name="Xc76933b0e669d18cb50074a1c879813aac9227e"/>
    <w:p>
      <w:pPr>
        <w:pStyle w:val="Heading4"/>
      </w:pPr>
      <w:r>
        <w:t xml:space="preserve">Production Energy Emissions (Illustrative - Scope 2)</w:t>
      </w:r>
    </w:p>
    <w:p>
      <w:pPr>
        <w:pStyle w:val="FirstParagraph"/>
      </w:pPr>
      <w:r>
        <w:t xml:space="preserve">Given `Energy Intensity (kWh/unit)`: 10 kWh/unit (`oowugpwifh`).</w:t>
      </w:r>
      <w:r>
        <w:t xml:space="preserve"> </w:t>
      </w:r>
      <w:r>
        <w:t xml:space="preserve">Given `Renewable Energy Usage`: 75% (`kzsxjdjfux`).</w:t>
      </w:r>
      <w:r>
        <w:t xml:space="preserve"> </w:t>
      </w:r>
      <w:r>
        <w:t xml:space="preserve">Assumed China Grid Electricity Emission Factor: 0.7 kg CO2e/kWh.</w:t>
      </w:r>
    </w:p>
    <w:p>
      <w:pPr>
        <w:numPr>
          <w:ilvl w:val="0"/>
          <w:numId w:val="1008"/>
        </w:numPr>
        <w:pStyle w:val="Compact"/>
      </w:pPr>
      <w:r>
        <w:t xml:space="preserve">Non-renewable energy portion = 10 kWh/unit * (1 - 0.75) = 2.5 kWh/unit.</w:t>
      </w:r>
    </w:p>
    <w:p>
      <w:pPr>
        <w:numPr>
          <w:ilvl w:val="0"/>
          <w:numId w:val="1008"/>
        </w:numPr>
        <w:pStyle w:val="Compact"/>
      </w:pPr>
      <w:r>
        <w:t xml:space="preserve">Production Energy Emissions = 2.5 kWh/unit * 0.7 kg CO2e/kWh = 1.75 kg CO2e.</w:t>
      </w:r>
    </w:p>
    <w:p>
      <w:pPr>
        <w:pStyle w:val="FirstParagraph"/>
      </w:pPr>
      <w:r>
        <w:rPr>
          <w:iCs/>
          <w:i/>
        </w:rPr>
        <w:t xml:space="preserve">Illustrative Production Energy Emissions (Scope 2):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1.75 kg CO2e</w:t>
      </w:r>
    </w:p>
    <w:bookmarkEnd w:id="33"/>
    <w:bookmarkStart w:id="34" w:name="Xd4c8655b43c19c27e8baf6f2341c446b1ddb632"/>
    <w:p>
      <w:pPr>
        <w:pStyle w:val="Heading4"/>
      </w:pPr>
      <w:r>
        <w:t xml:space="preserve">Transport Emissions (Illustrative - Scope 3 Upstream &amp; Downstream)</w:t>
      </w:r>
    </w:p>
    <w:p>
      <w:pPr>
        <w:pStyle w:val="FirstParagraph"/>
      </w:pPr>
      <w:r>
        <w:t xml:space="preserve">Illustrative total material weight (from BOM Qty): 2.5 kg + 1.0 kg + 0.2 kg = 3.7 kg.</w:t>
      </w:r>
      <w:r>
        <w:t xml:space="preserve"> </w:t>
      </w:r>
      <w:r>
        <w:t xml:space="preserve">`Transport Mode`: Road Freight (HGV), `Transport Distance`: 1500 km (`dfvosmmpxi`).</w:t>
      </w:r>
      <w:r>
        <w:t xml:space="preserve"> </w:t>
      </w:r>
      <w:r>
        <w:t xml:space="preserve">`Last-Mile Delivery Channel`: Van Delivery, assumed distance: 50 km.</w:t>
      </w:r>
      <w:r>
        <w:t xml:space="preserve"> </w:t>
      </w:r>
      <w:r>
        <w:t xml:space="preserve">Assumed Road Freight (HGV) EF: 0.1 kg CO2e/tonne-km.</w:t>
      </w:r>
      <w:r>
        <w:t xml:space="preserve"> </w:t>
      </w:r>
      <w:r>
        <w:t xml:space="preserve">Assumed Van Delivery EF: 0.3 kg CO2e/tonne-km.</w:t>
      </w:r>
    </w:p>
    <w:p>
      <w:pPr>
        <w:numPr>
          <w:ilvl w:val="0"/>
          <w:numId w:val="1009"/>
        </w:numPr>
        <w:pStyle w:val="Compact"/>
      </w:pPr>
      <w:r>
        <w:t xml:space="preserve">Primary Transport Emissions = (3.7 kg / 1000 kg/tonne) * 1500 km * 0.1 kg CO2e/tonne-km = 0.0037 tonne * 1500 km * 0.1 kg CO2e/tonne-km = 0.555 kg CO2e.</w:t>
      </w:r>
    </w:p>
    <w:p>
      <w:pPr>
        <w:numPr>
          <w:ilvl w:val="0"/>
          <w:numId w:val="1009"/>
        </w:numPr>
        <w:pStyle w:val="Compact"/>
      </w:pPr>
      <w:r>
        <w:t xml:space="preserve">Last-Mile Delivery Emissions = (3.7 kg / 1000 kg/tonne) * 50 km * 0.3 kg CO2e/tonne-km = 0.0037 tonne * 50 km * 0.3 kg CO2e/tonne-km = 0.0555 kg CO2e.</w:t>
      </w:r>
    </w:p>
    <w:p>
      <w:pPr>
        <w:numPr>
          <w:ilvl w:val="0"/>
          <w:numId w:val="1009"/>
        </w:numPr>
        <w:pStyle w:val="Compact"/>
      </w:pPr>
      <w:r>
        <w:t xml:space="preserve">Total Transport Emissions = 0.555 kg CO2e + 0.0555 kg CO2e = 0.6105 kg CO2e.</w:t>
      </w:r>
    </w:p>
    <w:p>
      <w:pPr>
        <w:pStyle w:val="FirstParagraph"/>
      </w:pPr>
      <w:r>
        <w:rPr>
          <w:iCs/>
          <w:i/>
        </w:rPr>
        <w:t xml:space="preserve">Illustrative Transport Emissions (Scope 3):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0.61 kg CO2e</w:t>
      </w:r>
    </w:p>
    <w:bookmarkEnd w:id="34"/>
    <w:bookmarkStart w:id="35" w:name="X05a8d28d449f128f6730f2940c1d4d17cade475"/>
    <w:p>
      <w:pPr>
        <w:pStyle w:val="Heading4"/>
      </w:pPr>
      <w:r>
        <w:t xml:space="preserve">Use Phase Emissions (Illustrative - Scope 3 Downstream)</w:t>
      </w:r>
    </w:p>
    <w:p>
      <w:pPr>
        <w:pStyle w:val="FirstParagraph"/>
      </w:pPr>
      <w:r>
        <w:t xml:space="preserve">`Product Lifespan`: 5 years (`rgzkevpydm`).</w:t>
      </w:r>
      <w:r>
        <w:t xml:space="preserve"> </w:t>
      </w:r>
      <w:r>
        <w:t xml:space="preserve">`Energy Consumption in Use`: 20 kWh/year (`ptvfzylsho`).</w:t>
      </w:r>
      <w:r>
        <w:t xml:space="preserve"> </w:t>
      </w:r>
      <w:r>
        <w:t xml:space="preserve">Assumed Global Average Grid Electricity Emission Factor: 0.4 kg CO2e/kWh.</w:t>
      </w:r>
    </w:p>
    <w:p>
      <w:pPr>
        <w:numPr>
          <w:ilvl w:val="0"/>
          <w:numId w:val="1010"/>
        </w:numPr>
        <w:pStyle w:val="Compact"/>
      </w:pPr>
      <w:r>
        <w:t xml:space="preserve">Total Energy Consumption in Use = 20 kWh/year * 5 years = 100 kWh.</w:t>
      </w:r>
    </w:p>
    <w:p>
      <w:pPr>
        <w:numPr>
          <w:ilvl w:val="0"/>
          <w:numId w:val="1010"/>
        </w:numPr>
        <w:pStyle w:val="Compact"/>
      </w:pPr>
      <w:r>
        <w:t xml:space="preserve">Use Phase Emissions = 100 kWh * 0.4 kg CO2e/kWh = 40.0 kg CO2e.</w:t>
      </w:r>
    </w:p>
    <w:p>
      <w:pPr>
        <w:pStyle w:val="FirstParagraph"/>
      </w:pPr>
      <w:r>
        <w:rPr>
          <w:iCs/>
          <w:i/>
        </w:rPr>
        <w:t xml:space="preserve">Illustrative Use Phase Emissions (Scope 3):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40.0 kg CO2e</w:t>
      </w:r>
    </w:p>
    <w:bookmarkEnd w:id="35"/>
    <w:bookmarkStart w:id="36" w:name="Xb1d9b81776074798653613d9d5446612a48370e"/>
    <w:p>
      <w:pPr>
        <w:pStyle w:val="Heading4"/>
      </w:pPr>
      <w:r>
        <w:t xml:space="preserve">End-of-Life (EoL) Emissions (Illustrative - Scope 3 Downstream)</w:t>
      </w:r>
    </w:p>
    <w:p>
      <w:pPr>
        <w:pStyle w:val="FirstParagraph"/>
      </w:pPr>
      <w:r>
        <w:t xml:space="preserve">`Recyclability Percentage`: 80% (`qoqvpumgsh`).</w:t>
      </w:r>
      <w:r>
        <w:t xml:space="preserve"> </w:t>
      </w:r>
      <w:r>
        <w:t xml:space="preserve">`Circular/Take-back Programs`: "Yes, Product take-back scheme in place." (`dntpdluelo`).</w:t>
      </w:r>
      <w:r>
        <w:t xml:space="preserve"> </w:t>
      </w:r>
      <w:r>
        <w:t xml:space="preserve">For illustrative purposes, we assume a credit for recycled materials (50% reduction of original material emissions for the recycled portion) and a small emission for disposal of the non-recycled portion.</w:t>
      </w:r>
      <w:r>
        <w:t xml:space="preserve"> </w:t>
      </w:r>
      <w:r>
        <w:t xml:space="preserve">Illustrative material emissions for EoL consideration (total 11.5 kg CO2e).</w:t>
      </w:r>
      <w:r>
        <w:t xml:space="preserve"> </w:t>
      </w:r>
      <w:r>
        <w:t xml:space="preserve">Assumed disposal (landfill) EF: 0.05 kg CO2e/kg.</w:t>
      </w:r>
      <w:r>
        <w:t xml:space="preserve"> </w:t>
      </w:r>
      <w:r>
        <w:t xml:space="preserve">Illustrative total weight of product for EoL: 3.7 kg.</w:t>
      </w:r>
    </w:p>
    <w:p>
      <w:pPr>
        <w:numPr>
          <w:ilvl w:val="0"/>
          <w:numId w:val="1011"/>
        </w:numPr>
        <w:pStyle w:val="Compact"/>
      </w:pPr>
      <w:r>
        <w:t xml:space="preserve">Recycled portion = 80% of 3.7 kg = 2.96 kg.</w:t>
      </w:r>
    </w:p>
    <w:p>
      <w:pPr>
        <w:numPr>
          <w:ilvl w:val="0"/>
          <w:numId w:val="1011"/>
        </w:numPr>
        <w:pStyle w:val="Compact"/>
      </w:pPr>
      <w:r>
        <w:t xml:space="preserve">Disposed portion = 20% of 3.7 kg = 0.74 kg.</w:t>
      </w:r>
    </w:p>
    <w:p>
      <w:pPr>
        <w:numPr>
          <w:ilvl w:val="0"/>
          <w:numId w:val="1011"/>
        </w:numPr>
        <w:pStyle w:val="Compact"/>
      </w:pPr>
      <w:r>
        <w:t xml:space="preserve">Avoided Emissions (from recycling credit) = 0.80 * (Illustrative Material Emissions * 0.5) = 0.80 * (11.5 kg CO2e * 0.5) = 0.80 * 5.75 kg CO2e = 4.6 kg CO2e (as a credit, so -4.6 kg CO2e).</w:t>
      </w:r>
    </w:p>
    <w:p>
      <w:pPr>
        <w:numPr>
          <w:ilvl w:val="0"/>
          <w:numId w:val="1011"/>
        </w:numPr>
        <w:pStyle w:val="Compact"/>
      </w:pPr>
      <w:r>
        <w:t xml:space="preserve">Disposal Emissions = 0.74 kg * 0.05 kg CO2e/kg = 0.037 kg CO2e.</w:t>
      </w:r>
    </w:p>
    <w:p>
      <w:pPr>
        <w:numPr>
          <w:ilvl w:val="0"/>
          <w:numId w:val="1011"/>
        </w:numPr>
        <w:pStyle w:val="Compact"/>
      </w:pPr>
      <w:r>
        <w:t xml:space="preserve">Net EoL Emissions = 0.037 kg CO2e - 4.6 kg CO2e = -4.563 kg CO2e.</w:t>
      </w:r>
    </w:p>
    <w:p>
      <w:pPr>
        <w:pStyle w:val="FirstParagraph"/>
      </w:pPr>
      <w:r>
        <w:rPr>
          <w:iCs/>
          <w:i/>
        </w:rPr>
        <w:t xml:space="preserve">Illustrative End-of-Life Emissions (Scope 3):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-4.56 kg CO2e</w:t>
      </w:r>
      <w:r>
        <w:rPr>
          <w:iCs/>
          <w:i/>
        </w:rPr>
        <w:t xml:space="preserve"> </w:t>
      </w:r>
      <w:r>
        <w:rPr>
          <w:iCs/>
          <w:i/>
        </w:rPr>
        <w:t xml:space="preserve">(Net Removal/Avoidance)</w:t>
      </w:r>
    </w:p>
    <w:bookmarkEnd w:id="36"/>
    <w:bookmarkStart w:id="37" w:name="X855e3dcc04f59694b110fd1de32eb09b5fd904a"/>
    <w:p>
      <w:pPr>
        <w:pStyle w:val="Heading4"/>
      </w:pPr>
      <w:r>
        <w:t xml:space="preserve">Total Illustrative Product Carbon Footprint</w:t>
      </w:r>
    </w:p>
    <w:p>
      <w:pPr>
        <w:numPr>
          <w:ilvl w:val="0"/>
          <w:numId w:val="1012"/>
        </w:numPr>
        <w:pStyle w:val="Compact"/>
      </w:pPr>
      <w:r>
        <w:t xml:space="preserve">Material Emissions: 11.5 kg CO2e</w:t>
      </w:r>
    </w:p>
    <w:p>
      <w:pPr>
        <w:numPr>
          <w:ilvl w:val="0"/>
          <w:numId w:val="1012"/>
        </w:numPr>
        <w:pStyle w:val="Compact"/>
      </w:pPr>
      <w:r>
        <w:t xml:space="preserve">Production Energy Emissions: 1.75 kg CO2e</w:t>
      </w:r>
    </w:p>
    <w:p>
      <w:pPr>
        <w:numPr>
          <w:ilvl w:val="0"/>
          <w:numId w:val="1012"/>
        </w:numPr>
        <w:pStyle w:val="Compact"/>
      </w:pPr>
      <w:r>
        <w:t xml:space="preserve">Transport Emissions: 0.61 kg CO2e</w:t>
      </w:r>
    </w:p>
    <w:p>
      <w:pPr>
        <w:numPr>
          <w:ilvl w:val="0"/>
          <w:numId w:val="1012"/>
        </w:numPr>
        <w:pStyle w:val="Compact"/>
      </w:pPr>
      <w:r>
        <w:t xml:space="preserve">Use Phase Emissions: 40.0 kg CO2e</w:t>
      </w:r>
    </w:p>
    <w:p>
      <w:pPr>
        <w:numPr>
          <w:ilvl w:val="0"/>
          <w:numId w:val="1012"/>
        </w:numPr>
        <w:pStyle w:val="Compact"/>
      </w:pPr>
      <w:r>
        <w:t xml:space="preserve">End-of-Life Emissions: -4.56 kg CO2e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Total PCF = 11.5 + 1.75 + 0.61 + 40.0 - 4.56 = 49.3 kg CO2e per functional unit of istqnvgqgv.</w:t>
      </w:r>
    </w:p>
    <w:p>
      <w:pPr>
        <w:pStyle w:val="FirstParagraph"/>
      </w:pPr>
      <w:r>
        <w:rPr>
          <w:iCs/>
          <w:i/>
        </w:rPr>
        <w:t xml:space="preserve">Illustrative Total PCF for istqnvgqgv: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49.3 kg CO2e per unit</w:t>
      </w:r>
    </w:p>
    <w:p>
      <w:r>
        <w:pict>
          <v:rect style="width:0;height:1.5pt" o:hralign="center" o:hrstd="t" o:hr="t"/>
        </w:pict>
      </w:r>
    </w:p>
    <w:bookmarkEnd w:id="37"/>
    <w:bookmarkEnd w:id="38"/>
    <w:bookmarkEnd w:id="39"/>
    <w:bookmarkStart w:id="44" w:name="review-report"/>
    <w:p>
      <w:pPr>
        <w:pStyle w:val="Heading2"/>
      </w:pPr>
      <w:r>
        <w:t xml:space="preserve">5. Review &amp; Report</w:t>
      </w:r>
    </w:p>
    <w:bookmarkStart w:id="40" w:name="emission-hotspots-illustrative"/>
    <w:p>
      <w:pPr>
        <w:pStyle w:val="Heading3"/>
      </w:pPr>
      <w:r>
        <w:t xml:space="preserve">Emission Hotspots (Illustrative)</w:t>
      </w:r>
    </w:p>
    <w:p>
      <w:pPr>
        <w:pStyle w:val="FirstParagraph"/>
      </w:pPr>
      <w:r>
        <w:t xml:space="preserve">Based on the illustrative calculations, the primary emission hotspots for istqnvgqgv are: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Use Phase (Approx. 81% of positive emissions):</w:t>
      </w:r>
      <w:r>
        <w:t xml:space="preserve"> </w:t>
      </w:r>
      <w:r>
        <w:t xml:space="preserve">The energy consumption during the product\'s lifespan contributes the most significant portion of the PCF. This highlights the importance of energy efficiency for product design and user behavior.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Material Acquisition (Approx. 23% of positive emissions):</w:t>
      </w:r>
      <w:r>
        <w:t xml:space="preserve"> </w:t>
      </w:r>
      <w:r>
        <w:t xml:space="preserve">The impact of raw materials, particularly the illustrative steel and plastics, is the second largest contributor. This emphasizes the need for sustainable material sourcing and design for lighter, less material-intensive products.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Production Energy (Approx. 4% of positive emissions):</w:t>
      </w:r>
      <w:r>
        <w:t xml:space="preserve"> </w:t>
      </w:r>
      <w:r>
        <w:t xml:space="preserve">While smaller, this category points to the importance of renewable energy integration in manufacturing.</w:t>
      </w:r>
    </w:p>
    <w:bookmarkEnd w:id="40"/>
    <w:bookmarkStart w:id="41" w:name="reliability-and-data-gaps"/>
    <w:p>
      <w:pPr>
        <w:pStyle w:val="Heading3"/>
      </w:pPr>
      <w:r>
        <w:t xml:space="preserve">Reliability and Data Gaps</w:t>
      </w:r>
    </w:p>
    <w:p>
      <w:pPr>
        <w:pStyle w:val="FirstParagraph"/>
      </w:pPr>
      <w:r>
        <w:t xml:space="preserve">The reliability of this PCF analysis is contingent upon the accuracy and completeness of the underlying data.</w:t>
      </w:r>
      <w:r>
        <w:t xml:space="preserve"> </w:t>
      </w:r>
      <w:r>
        <w:t xml:space="preserve">For an actual report, the following would enhance reliability: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Primary Data:</w:t>
      </w:r>
      <w:r>
        <w:t xml:space="preserve"> </w:t>
      </w:r>
      <w:r>
        <w:t xml:space="preserve">Direct primary data for all BOM items, transport, and energy consumption would yield the most accurate results.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Specific Emission Factors:</w:t>
      </w:r>
      <w:r>
        <w:t xml:space="preserve"> </w:t>
      </w:r>
      <w:r>
        <w:t xml:space="preserve">Using region-specific and process-specific emission factors for all stages, rather than generic ones, would increase precision.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LSR Data:</w:t>
      </w:r>
      <w:r>
        <w:t xml:space="preserve"> </w:t>
      </w:r>
      <w:r>
        <w:t xml:space="preserve">Detailed land-use data associated with material sourcing to fully apply the 2026 LSR Standard.</w:t>
      </w:r>
    </w:p>
    <w:p>
      <w:pPr>
        <w:pStyle w:val="FirstParagraph"/>
      </w:pPr>
      <w:r>
        <w:t xml:space="preserve">This report utilizes the provided parameters and illustrates the robust methodology to be applied with actual data.</w:t>
      </w:r>
    </w:p>
    <w:p>
      <w:r>
        <w:pict>
          <v:rect style="width:0;height:1.5pt" o:hralign="center" o:hrstd="t" o:hr="t"/>
        </w:pict>
      </w:r>
    </w:p>
    <w:bookmarkEnd w:id="41"/>
    <w:bookmarkStart w:id="43" w:name="recommendations-for-carbon-reduction"/>
    <w:p>
      <w:pPr>
        <w:pStyle w:val="Heading3"/>
      </w:pPr>
      <w:r>
        <w:t xml:space="preserve">Recommendations for Carbon Reduction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Use Phase Optimization:</w:t>
      </w:r>
      <w:r>
        <w:t xml:space="preserve"> </w:t>
      </w:r>
      <w:r>
        <w:t xml:space="preserve">Prioritize design improvements for energy efficiency during the product\'s use. Explore low-power modes, extend product lifespan, and encourage sustainable user practices.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Material Innovations:</w:t>
      </w:r>
      <w:r>
        <w:t xml:space="preserve"> </w:t>
      </w:r>
      <w:r>
        <w:t xml:space="preserve">Investigate alternative, lower-carbon materials for components like the casing and housing. Focus on recycled content, bio-based materials, and lightweighting strategies.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Supply Chain Engagement:</w:t>
      </w:r>
      <w:r>
        <w:t xml:space="preserve"> </w:t>
      </w:r>
      <w:r>
        <w:t xml:space="preserve">Collaborate with suppliers to understand and reduce their upstream emissions, especially for high-impact materials.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Renewable Energy Integration:</w:t>
      </w:r>
      <w:r>
        <w:t xml:space="preserve"> </w:t>
      </w:r>
      <w:r>
        <w:t xml:space="preserve">Continue to increase renewable energy usage at manufacturing facilities and explore options for renewable energy certificates or power purchase agreements in the supply chain.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Circular Economy Design:</w:t>
      </w:r>
      <w:r>
        <w:t xml:space="preserve"> </w:t>
      </w:r>
      <w:r>
        <w:t xml:space="preserve">Leverage the existing circular/take-back programs (`dntpdluelo`) and enhance recyclability (`qoqvpumgsh`) to maximize material recovery and minimize end-of-life impacts.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Confidential - Internal Use Only | Page</w:t>
      </w:r>
      <w:r>
        <w:t xml:space="preserve"> </w:t>
      </w:r>
      <w:bookmarkStart w:id="42" w:name="pageNumber"/>
      <w:bookmarkEnd w:id="42"/>
    </w:p>
    <w:bookmarkEnd w:id="43"/>
    <w:bookmarkEnd w:id="44"/>
    <w:bookmarkEnd w:id="4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istqnvgqgv</dc:title>
  <dc:creator/>
  <dc:description>Detailed Product Carbon Footprint (PCF) analysis report for istqnvgqgv, adhering to GHG Protocol standards and 2026 LSR updates, prepared by Senior Sustainability Consultant pkwsovhypq for jtenizhkwx.</dc:description>
  <dc:language>en</dc:language>
  <cp:keywords/>
  <dcterms:created xsi:type="dcterms:W3CDTF">2026-07-15T12:49:16Z</dcterms:created>
  <dcterms:modified xsi:type="dcterms:W3CDTF">2026-07-15T12:49:16Z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