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iqwqnhzksq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iqwqnhzksq</w:t>
      </w:r>
    </w:p>
    <w:p>
      <w:pPr>
        <w:pStyle w:val="BodyText"/>
      </w:pPr>
      <w:r>
        <w:rPr>
          <w:bCs/>
          <w:b/>
        </w:rPr>
        <w:t xml:space="preserve">Company Name:</w:t>
      </w:r>
      <w:r>
        <w:t xml:space="preserve"> </w:t>
      </w:r>
      <w:r>
        <w:t xml:space="preserve">ksfennrpgv</w:t>
      </w:r>
    </w:p>
    <w:p>
      <w:pPr>
        <w:pStyle w:val="BodyText"/>
      </w:pPr>
      <w:r>
        <w:rPr>
          <w:bCs/>
          <w:b/>
        </w:rPr>
        <w:t xml:space="preserve">Senior Sustainability Consultant:</w:t>
      </w:r>
      <w:r>
        <w:t xml:space="preserve"> </w:t>
      </w:r>
      <w:r>
        <w:t xml:space="preserve">lpeferlsid</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are illustrative, using simulated data points for key parameters where specific numerical values were provided as placeholders. Actual results may vary with precise primary data.</w:t>
      </w:r>
    </w:p>
    <w:bookmarkEnd w:id="20"/>
    <w:p>
      <w:pPr>
        <w:pStyle w:val="BodyText"/>
      </w:pPr>
      <w:r>
        <w:t xml:space="preserve">Generated Date: May 27, 2026</w:t>
      </w:r>
    </w:p>
    <w:bookmarkStart w:id="37" w:name="executive-summary"/>
    <w:p>
      <w:pPr>
        <w:pStyle w:val="Heading1"/>
      </w:pPr>
      <w:r>
        <w:t xml:space="preserve">Executive Summary</w:t>
      </w:r>
    </w:p>
    <w:p>
      <w:pPr>
        <w:pStyle w:val="FirstParagraph"/>
      </w:pPr>
      <w:r>
        <w:t xml:space="preserve">This report presents a high-detail Product Carbon Footprint (PCF) analysis for \'iqwqnhzksq\' manufactured by ksfennrpgv. Acting as lpeferlsid, Senior Sustainability Consultant, this analysis adheres strictly to the GHG Protocol, incorporating the 2026 Land Sector and Removals (LSR) Standard and aiming for over 95% Scope 3 coverage. The PCF is calculated from a "factory-gate" system boundary, considering material acquisition, manufacturing, transportation, use, and end-of-life phases, with a final production country of China and a supply chain focus on Europe. The total Product Carbon Footprint for one functional unit of iqwqnhzksq is calculated to be</w:t>
      </w:r>
      <w:r>
        <w:t xml:space="preserve"> </w:t>
      </w:r>
      <w:r>
        <w:rPr>
          <w:bCs/>
          <w:b/>
        </w:rPr>
        <w:t xml:space="preserve">40.93 kg CO2e</w:t>
      </w:r>
      <w:r>
        <w:t xml:space="preserve">, including a significant recycling credit at end-of-life. Key hotspots identified include material production and the product\'s use phase energy consumption.</w:t>
      </w:r>
    </w:p>
    <w:p>
      <w:r>
        <w:pict>
          <v:rect style="width:0;height:1.5pt" o:hralign="center" o:hrstd="t" o:hr="t"/>
        </w:pict>
      </w:r>
    </w:p>
    <w:bookmarkStart w:id="23" w:name="methodology-and-scope-definition"/>
    <w:p>
      <w:pPr>
        <w:pStyle w:val="Heading2"/>
      </w:pPr>
      <w:r>
        <w:t xml:space="preserve">1. Methodology and Scope Definition</w:t>
      </w:r>
    </w:p>
    <w:p>
      <w:pPr>
        <w:pStyle w:val="FirstParagraph"/>
      </w:pPr>
      <w:r>
        <w:t xml:space="preserve">This Product Carbon Footprint (PCF) analysis for iqwqnhzksq follows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1" w:name="adherence-to-ghg-protocol"/>
    <w:p>
      <w:pPr>
        <w:pStyle w:val="Heading3"/>
      </w:pPr>
      <w:r>
        <w:t xml:space="preserve">1.1. Adherence to GHG Protocol</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Scope Categorization:</w:t>
      </w:r>
      <w:r>
        <w:t xml:space="preserve"> </w:t>
      </w:r>
      <w:r>
        <w:t xml:space="preserve">Emissions are categorized into Scope 1 (direct emissions), Scope 2 (purchased energy), and Scope 3 (value chain emissions) as per GHG Protocol Corporate Standard requirements.</w:t>
      </w:r>
    </w:p>
    <w:p>
      <w:pPr>
        <w:numPr>
          <w:ilvl w:val="0"/>
          <w:numId w:val="1002"/>
        </w:numPr>
        <w:pStyle w:val="Compact"/>
      </w:pPr>
      <w:r>
        <w:rPr>
          <w:bCs/>
          <w:b/>
        </w:rPr>
        <w:t xml:space="preserve">2026 LSR Update:</w:t>
      </w:r>
      <w:r>
        <w:t xml:space="preserve"> </w:t>
      </w:r>
      <w:r>
        <w:t xml:space="preserve">The Land Sector and Removals (LSR) Standard is applied, particularly in the End-of-Life phase, by accounting for carbon removals/avoided emissions through recycling and circular economy programs.</w:t>
      </w:r>
    </w:p>
    <w:p>
      <w:pPr>
        <w:numPr>
          <w:ilvl w:val="0"/>
          <w:numId w:val="1002"/>
        </w:numPr>
        <w:pStyle w:val="Compact"/>
      </w:pPr>
      <w:r>
        <w:rPr>
          <w:bCs/>
          <w:b/>
        </w:rPr>
        <w:t xml:space="preserve">Scope 3 Compliance:</w:t>
      </w:r>
      <w:r>
        <w:t xml:space="preserve"> </w:t>
      </w:r>
      <w:r>
        <w:t xml:space="preserve">This analysis aims for at least 95% coverage for Scope 3 reporting, in line with anticipated 2026 requirements, by meticulously detailing material inputs, transport, use phase, and end-of-life impacts.</w:t>
      </w:r>
    </w:p>
    <w:bookmarkEnd w:id="21"/>
    <w:bookmarkStart w:id="22" w:name="scope-definition"/>
    <w:p>
      <w:pPr>
        <w:pStyle w:val="Heading3"/>
      </w:pPr>
      <w:r>
        <w:t xml:space="preserve">1.2. Scope Definition</w:t>
      </w:r>
    </w:p>
    <w:p>
      <w:pPr>
        <w:numPr>
          <w:ilvl w:val="0"/>
          <w:numId w:val="1003"/>
        </w:numPr>
        <w:pStyle w:val="Compact"/>
      </w:pPr>
      <w:r>
        <w:rPr>
          <w:bCs/>
          <w:b/>
        </w:rPr>
        <w:t xml:space="preserve">Functional Unit:</w:t>
      </w:r>
      <w:r>
        <w:t xml:space="preserve"> </w:t>
      </w:r>
      <w:r>
        <w:t xml:space="preserve">1.0 unit of iqwqnhzksq. This represents the reference flow to which all inputs and outputs are related.</w:t>
      </w:r>
    </w:p>
    <w:p>
      <w:pPr>
        <w:numPr>
          <w:ilvl w:val="0"/>
          <w:numId w:val="1003"/>
        </w:numPr>
        <w:pStyle w:val="Compact"/>
      </w:pPr>
      <w:r>
        <w:rPr>
          <w:bCs/>
          <w:b/>
        </w:rPr>
        <w:t xml:space="preserve">System Boundary:</w:t>
      </w:r>
      <w:r>
        <w:t xml:space="preserve"> </w:t>
      </w:r>
      <w:r>
        <w:t xml:space="preserve">factory_gate. This cradle-to-gate boundary is expanded to include downstream transportation, the use phase, and end-of-life treatment to provide a comprehensive "cradle-to-grave" perspective.</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Allocation:</w:t>
      </w:r>
      <w:r>
        <w:t xml:space="preserve"> </w:t>
      </w:r>
      <w:r>
        <w:t xml:space="preserve">Environmental burdens are allocated based on mass and economic value where co-products or by-products occur, primarily focusing on direct attribution to the functional unit. Recycling benefits are accounted for using the "System Expansion" approach, crediting avoided virgin material production.</w:t>
      </w:r>
    </w:p>
    <w:p>
      <w:r>
        <w:pict>
          <v:rect style="width:0;height:1.5pt" o:hralign="center" o:hrstd="t" o:hr="t"/>
        </w:pict>
      </w:r>
    </w:p>
    <w:bookmarkEnd w:id="22"/>
    <w:bookmarkEnd w:id="23"/>
    <w:bookmarkStart w:id="29" w:name="lifecycle-mapping-and-data-collection"/>
    <w:p>
      <w:pPr>
        <w:pStyle w:val="Heading2"/>
      </w:pPr>
      <w:r>
        <w:t xml:space="preserve">2. &amp; 3. Lifecycle Mapping and Data Collection</w:t>
      </w:r>
    </w:p>
    <w:p>
      <w:pPr>
        <w:pStyle w:val="FirstParagraph"/>
      </w:pPr>
      <w:r>
        <w:t xml:space="preserve">This section details the primary and secondary data points collected and the mapping of the product\'s lifecycle stages for iqwqnhzksq. Data points are based on the parameters provided and industry-standard emission factors.</w:t>
      </w:r>
    </w:p>
    <w:bookmarkStart w:id="24" w:name="Xdf0814689718e8e572e56c797f6368e9f5fb81c"/>
    <w:p>
      <w:pPr>
        <w:pStyle w:val="Heading3"/>
      </w:pPr>
      <w:r>
        <w:t xml:space="preserve">2.1. Detailed Bill of Materials (BOM) - udsdofhr</w:t>
      </w:r>
    </w:p>
    <w:p>
      <w:pPr>
        <w:pStyle w:val="FirstParagraph"/>
      </w:pPr>
      <w:r>
        <w:t xml:space="preserve">The material inputs are based on the provided Detailed Bill of Materials (udsdofhr). The "Total Carbon" value for each item is directly used for calculating material acquisition and processing emissions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ITEM-001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w:t>
            </w:r>
          </w:p>
        </w:tc>
      </w:tr>
      <w:tr>
        <w:tc>
          <w:tcPr/>
          <w:p>
            <w:pPr>
              <w:pStyle w:val="Compact"/>
              <w:jc w:val="left"/>
            </w:pPr>
            <w:r>
              <w:t xml:space="preserve">ITEM-002</w:t>
            </w:r>
          </w:p>
        </w:tc>
        <w:tc>
          <w:tcPr/>
          <w:p>
            <w:pPr>
              <w:pStyle w:val="Compact"/>
              <w:jc w:val="left"/>
            </w:pPr>
            <w:r>
              <w:t xml:space="preserve">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ITEM-003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ITEM-004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Pulp &amp; 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p>
            <w:pPr>
              <w:pStyle w:val="Compact"/>
              <w:jc w:val="left"/>
            </w:pPr>
            <w:r>
              <w:t xml:space="preserve">ITEM-005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0.7</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19.06 kg CO2e</w:t>
            </w:r>
          </w:p>
        </w:tc>
      </w:tr>
    </w:tbl>
    <w:bookmarkEnd w:id="24"/>
    <w:bookmarkStart w:id="25" w:name="energy-inputs-and-customization"/>
    <w:p>
      <w:pPr>
        <w:pStyle w:val="Heading3"/>
      </w:pPr>
      <w:r>
        <w:t xml:space="preserve">2.2. Energy Inputs and Customization</w:t>
      </w:r>
    </w:p>
    <w:p>
      <w:pPr>
        <w:numPr>
          <w:ilvl w:val="0"/>
          <w:numId w:val="1005"/>
        </w:numPr>
        <w:pStyle w:val="Compact"/>
      </w:pPr>
      <w:r>
        <w:rPr>
          <w:bCs/>
          <w:b/>
        </w:rPr>
        <w:t xml:space="preserve">Renewable Energy Usage (gfpjqgwqzi):</w:t>
      </w:r>
      <w:r>
        <w:t xml:space="preserve"> </w:t>
      </w:r>
      <w:r>
        <w:t xml:space="preserve">75% for manufacturing processes.</w:t>
      </w:r>
    </w:p>
    <w:p>
      <w:pPr>
        <w:numPr>
          <w:ilvl w:val="0"/>
          <w:numId w:val="1005"/>
        </w:numPr>
        <w:pStyle w:val="Compact"/>
      </w:pPr>
      <w:r>
        <w:rPr>
          <w:bCs/>
          <w:b/>
        </w:rPr>
        <w:t xml:space="preserve">Energy Intensity (kWh/unit) (lnpwmszpew):</w:t>
      </w:r>
      <w:r>
        <w:t xml:space="preserve"> </w:t>
      </w:r>
      <w:r>
        <w:t xml:space="preserve">50 kWh/unit for the production phase.</w:t>
      </w:r>
    </w:p>
    <w:p>
      <w:pPr>
        <w:numPr>
          <w:ilvl w:val="0"/>
          <w:numId w:val="1005"/>
        </w:numPr>
        <w:pStyle w:val="Compact"/>
      </w:pPr>
      <w:r>
        <w:rPr>
          <w:bCs/>
          <w:b/>
        </w:rPr>
        <w:t xml:space="preserve">Assumed Non-Renewable Electricity Grid Factor (China):</w:t>
      </w:r>
      <w:r>
        <w:t xml:space="preserve"> </w:t>
      </w:r>
      <w:r>
        <w:t xml:space="preserve">0.6 kg CO2e/kWh (illustrative for non-renewable portion).</w:t>
      </w:r>
    </w:p>
    <w:p>
      <w:pPr>
        <w:numPr>
          <w:ilvl w:val="0"/>
          <w:numId w:val="1005"/>
        </w:numPr>
        <w:pStyle w:val="Compact"/>
      </w:pPr>
      <w:r>
        <w:rPr>
          <w:bCs/>
          <w:b/>
        </w:rPr>
        <w:t xml:space="preserve">Effective Manufacturing Grid Factor:</w:t>
      </w:r>
      <w:r>
        <w:t xml:space="preserve"> </w:t>
      </w:r>
      <w:r>
        <w:t xml:space="preserve">(1 - 0.75) * 0.6 kg CO2e/kWh = 0.15 kg CO2e/kWh.</w:t>
      </w:r>
    </w:p>
    <w:bookmarkEnd w:id="25"/>
    <w:bookmarkStart w:id="26" w:name="logistics-data"/>
    <w:p>
      <w:pPr>
        <w:pStyle w:val="Heading3"/>
      </w:pPr>
      <w:r>
        <w:t xml:space="preserve">2.3. Logistics Data</w:t>
      </w:r>
    </w:p>
    <w:p>
      <w:pPr>
        <w:numPr>
          <w:ilvl w:val="0"/>
          <w:numId w:val="1006"/>
        </w:numPr>
        <w:pStyle w:val="Compact"/>
      </w:pPr>
      <w:r>
        <w:rPr>
          <w:bCs/>
          <w:b/>
        </w:rPr>
        <w:t xml:space="preserve">Upstream Transport (Materials to Factory):</w:t>
      </w:r>
    </w:p>
    <w:p>
      <w:pPr>
        <w:numPr>
          <w:ilvl w:val="1"/>
          <w:numId w:val="1007"/>
        </w:numPr>
        <w:pStyle w:val="Compact"/>
      </w:pPr>
      <w:r>
        <w:t xml:space="preserve">Assumed average product weight: 2.9 kg (sum of quantities from BOM).</w:t>
      </w:r>
    </w:p>
    <w:p>
      <w:pPr>
        <w:numPr>
          <w:ilvl w:val="1"/>
          <w:numId w:val="1007"/>
        </w:numPr>
        <w:pStyle w:val="Compact"/>
      </w:pPr>
      <w:r>
        <w:t xml:space="preserve">Assumed average distance: 2,000 km (illustrative, Europe focused supply chain for material inputs).</w:t>
      </w:r>
    </w:p>
    <w:p>
      <w:pPr>
        <w:numPr>
          <w:ilvl w:val="1"/>
          <w:numId w:val="1007"/>
        </w:numPr>
        <w:pStyle w:val="Compact"/>
      </w:pPr>
      <w:r>
        <w:t xml:space="preserve">Assumed Transport Mode: Road (heavy-duty truck).</w:t>
      </w:r>
    </w:p>
    <w:p>
      <w:pPr>
        <w:numPr>
          <w:ilvl w:val="1"/>
          <w:numId w:val="1007"/>
        </w:numPr>
        <w:pStyle w:val="Compact"/>
      </w:pPr>
      <w:r>
        <w:t xml:space="preserve">Emission Factor (Road Truck): ~0.09 kg CO2e/tkm (illustrative, industry average).</w:t>
      </w:r>
    </w:p>
    <w:p>
      <w:pPr>
        <w:numPr>
          <w:ilvl w:val="0"/>
          <w:numId w:val="1006"/>
        </w:numPr>
        <w:pStyle w:val="Compact"/>
      </w:pPr>
      <w:r>
        <w:rPr>
          <w:bCs/>
          <w:b/>
        </w:rPr>
        <w:t xml:space="preserve">Downstream Transport (Factory to Customer):</w:t>
      </w:r>
    </w:p>
    <w:p>
      <w:pPr>
        <w:numPr>
          <w:ilvl w:val="1"/>
          <w:numId w:val="1008"/>
        </w:numPr>
        <w:pStyle w:val="Compact"/>
      </w:pPr>
      <w:r>
        <w:rPr>
          <w:bCs/>
          <w:b/>
        </w:rPr>
        <w:t xml:space="preserve">Transport Mode:</w:t>
      </w:r>
      <w:r>
        <w:t xml:space="preserve"> </w:t>
      </w:r>
      <w:r>
        <w:t xml:space="preserve">Select Mode (represented as Ocean Freight (container ship)).</w:t>
      </w:r>
    </w:p>
    <w:p>
      <w:pPr>
        <w:numPr>
          <w:ilvl w:val="1"/>
          <w:numId w:val="1008"/>
        </w:numPr>
        <w:pStyle w:val="Compact"/>
      </w:pPr>
      <w:r>
        <w:rPr>
          <w:bCs/>
          <w:b/>
        </w:rPr>
        <w:t xml:space="preserve">Transport Distance (mnzsqzftqe):</w:t>
      </w:r>
      <w:r>
        <w:t xml:space="preserve"> </w:t>
      </w:r>
      <w:r>
        <w:t xml:space="preserve">8,000 km.</w:t>
      </w:r>
    </w:p>
    <w:p>
      <w:pPr>
        <w:numPr>
          <w:ilvl w:val="1"/>
          <w:numId w:val="1008"/>
        </w:numPr>
        <w:pStyle w:val="Compact"/>
      </w:pPr>
      <w:r>
        <w:t xml:space="preserve">Emission Factor (Ocean Freight): ~0.003 kg CO2e/tkm (illustrative, container ship).</w:t>
      </w:r>
    </w:p>
    <w:p>
      <w:pPr>
        <w:numPr>
          <w:ilvl w:val="1"/>
          <w:numId w:val="1008"/>
        </w:numPr>
        <w:pStyle w:val="Compact"/>
      </w:pPr>
      <w:r>
        <w:rPr>
          <w:bCs/>
          <w:b/>
        </w:rPr>
        <w:t xml:space="preserve">Last-Mile Delivery Channel:</w:t>
      </w:r>
      <w:r>
        <w:t xml:space="preserve"> </w:t>
      </w:r>
      <w:r>
        <w:t xml:space="preserve">Delivery Type (represented as Road (heavy-duty truck)).</w:t>
      </w:r>
    </w:p>
    <w:p>
      <w:pPr>
        <w:numPr>
          <w:ilvl w:val="1"/>
          <w:numId w:val="1008"/>
        </w:numPr>
        <w:pStyle w:val="Compact"/>
      </w:pPr>
      <w:r>
        <w:t xml:space="preserve">Assumed Last-Mile Distance: 200 km (illustrative).</w:t>
      </w:r>
    </w:p>
    <w:p>
      <w:pPr>
        <w:numPr>
          <w:ilvl w:val="1"/>
          <w:numId w:val="1008"/>
        </w:numPr>
        <w:pStyle w:val="Compact"/>
      </w:pPr>
      <w:r>
        <w:t xml:space="preserve">Emission Factor (Road Truck): ~0.09 kg CO2e/tkm (illustrative, industry average).</w:t>
      </w:r>
    </w:p>
    <w:bookmarkEnd w:id="26"/>
    <w:bookmarkStart w:id="27" w:name="use-phase-data"/>
    <w:p>
      <w:pPr>
        <w:pStyle w:val="Heading3"/>
      </w:pPr>
      <w:r>
        <w:t xml:space="preserve">2.4. Use Phase Data</w:t>
      </w:r>
    </w:p>
    <w:p>
      <w:pPr>
        <w:numPr>
          <w:ilvl w:val="0"/>
          <w:numId w:val="1009"/>
        </w:numPr>
        <w:pStyle w:val="Compact"/>
      </w:pPr>
      <w:r>
        <w:rPr>
          <w:bCs/>
          <w:b/>
        </w:rPr>
        <w:t xml:space="preserve">Product Lifespan (mjsykwmned):</w:t>
      </w:r>
      <w:r>
        <w:t xml:space="preserve"> </w:t>
      </w:r>
      <w:r>
        <w:t xml:space="preserve">5 years.</w:t>
      </w:r>
    </w:p>
    <w:p>
      <w:pPr>
        <w:numPr>
          <w:ilvl w:val="0"/>
          <w:numId w:val="1009"/>
        </w:numPr>
        <w:pStyle w:val="Compact"/>
      </w:pPr>
      <w:r>
        <w:rPr>
          <w:bCs/>
          <w:b/>
        </w:rPr>
        <w:t xml:space="preserve">Energy Consumption in Use (yrjsdlhusf):</w:t>
      </w:r>
      <w:r>
        <w:t xml:space="preserve"> </w:t>
      </w:r>
      <w:r>
        <w:t xml:space="preserve">10 kWh/year.</w:t>
      </w:r>
    </w:p>
    <w:p>
      <w:pPr>
        <w:numPr>
          <w:ilvl w:val="0"/>
          <w:numId w:val="1009"/>
        </w:numPr>
        <w:pStyle w:val="Compact"/>
      </w:pPr>
      <w:r>
        <w:rPr>
          <w:bCs/>
          <w:b/>
        </w:rPr>
        <w:t xml:space="preserve">Assumed User Electricity Grid Factor (Europe):</w:t>
      </w:r>
      <w:r>
        <w:t xml:space="preserve"> </w:t>
      </w:r>
      <w:r>
        <w:t xml:space="preserve">~0.35 kg CO2e/kWh (illustrative, e.g., Germany average).</w:t>
      </w:r>
    </w:p>
    <w:bookmarkEnd w:id="27"/>
    <w:bookmarkStart w:id="28" w:name="end-of-life-eol-scenarios"/>
    <w:p>
      <w:pPr>
        <w:pStyle w:val="Heading3"/>
      </w:pPr>
      <w:r>
        <w:t xml:space="preserve">2.5. End-of-Life (EoL) Scenarios</w:t>
      </w:r>
    </w:p>
    <w:p>
      <w:pPr>
        <w:numPr>
          <w:ilvl w:val="0"/>
          <w:numId w:val="1010"/>
        </w:numPr>
        <w:pStyle w:val="Compact"/>
      </w:pPr>
      <w:r>
        <w:rPr>
          <w:bCs/>
          <w:b/>
        </w:rPr>
        <w:t xml:space="preserve">Recyclability Percentage (lwktvekdxg):</w:t>
      </w:r>
      <w:r>
        <w:t xml:space="preserve"> </w:t>
      </w:r>
      <w:r>
        <w:t xml:space="preserve">80%.</w:t>
      </w:r>
    </w:p>
    <w:p>
      <w:pPr>
        <w:numPr>
          <w:ilvl w:val="0"/>
          <w:numId w:val="1010"/>
        </w:numPr>
        <w:pStyle w:val="Compact"/>
      </w:pPr>
      <w:r>
        <w:rPr>
          <w:bCs/>
          <w:b/>
        </w:rPr>
        <w:t xml:space="preserve">Circular/Take-back Programs (syyuyzkesq):</w:t>
      </w:r>
      <w:r>
        <w:t xml:space="preserve"> </w:t>
      </w:r>
      <w:r>
        <w:t xml:space="preserve">Yes, an existing Product Take-back and Refurbishment Program.</w:t>
      </w:r>
    </w:p>
    <w:p>
      <w:pPr>
        <w:numPr>
          <w:ilvl w:val="0"/>
          <w:numId w:val="1010"/>
        </w:numPr>
        <w:pStyle w:val="Compact"/>
      </w:pPr>
      <w:r>
        <w:rPr>
          <w:bCs/>
          <w:b/>
        </w:rPr>
        <w:t xml:space="preserve">Assumed Disposal Emission Factor (Landfill/Incineration):</w:t>
      </w:r>
      <w:r>
        <w:t xml:space="preserve"> </w:t>
      </w:r>
      <w:r>
        <w:t xml:space="preserve">~1.5 kg CO2e/kg (illustrative for non-recycled waste).</w:t>
      </w:r>
    </w:p>
    <w:p>
      <w:pPr>
        <w:numPr>
          <w:ilvl w:val="0"/>
          <w:numId w:val="1010"/>
        </w:numPr>
        <w:pStyle w:val="Compact"/>
      </w:pPr>
      <w:r>
        <w:rPr>
          <w:bCs/>
          <w:b/>
        </w:rPr>
        <w:t xml:space="preserve">Assumed Recycling Benefit/Credit:</w:t>
      </w:r>
      <w:r>
        <w:t xml:space="preserve"> </w:t>
      </w:r>
      <w:r>
        <w:t xml:space="preserve">~-2.0 kg CO2e/kg (illustrative avoided emissions from virgin material production).</w:t>
      </w:r>
    </w:p>
    <w:p>
      <w:r>
        <w:pict>
          <v:rect style="width:0;height:1.5pt" o:hralign="center" o:hrstd="t" o:hr="t"/>
        </w:pict>
      </w:r>
    </w:p>
    <w:bookmarkEnd w:id="28"/>
    <w:bookmarkEnd w:id="29"/>
    <w:bookmarkStart w:id="32" w:name="X439a6e6dcb43c636bf515ffaf3f59bce0bd6490"/>
    <w:p>
      <w:pPr>
        <w:pStyle w:val="Heading2"/>
      </w:pPr>
      <w:r>
        <w:t xml:space="preserve">4. Emission Calculation (Activity * Emission Factor = CO2e)</w:t>
      </w:r>
    </w:p>
    <w:p>
      <w:pPr>
        <w:pStyle w:val="FirstParagraph"/>
      </w:pPr>
      <w:r>
        <w:t xml:space="preserve">The emissions for each lifecycle stage are calculated based on the collected data and assumed industry-standard emission factors. All emissions are reported in kilograms of CO2 equivalent (kg CO2e) per functional unit (1.0 unit of iqwqnhzksq).</w:t>
      </w:r>
    </w:p>
    <w:bookmarkStart w:id="30" w:name="lifecycle-emission-breakdown"/>
    <w:p>
      <w:pPr>
        <w:pStyle w:val="Heading3"/>
      </w:pPr>
      <w:r>
        <w:t xml:space="preserve">4.1. Lifecycle Emission Breakdown</w:t>
      </w:r>
    </w:p>
    <w:tbl>
      <w:tblPr>
        <w:tblStyle w:val="Table"/>
        <w:tblW w:type="pct" w:w="500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Calculation Basis</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rPr>
                <w:bCs/>
                <w:b/>
              </w:rPr>
              <w:t xml:space="preserve">Materials (Upstream)</w:t>
            </w:r>
          </w:p>
        </w:tc>
        <w:tc>
          <w:tcPr/>
          <w:p>
            <w:pPr>
              <w:pStyle w:val="Compact"/>
              <w:jc w:val="left"/>
            </w:pPr>
            <w:r>
              <w:t xml:space="preserve">Acquisition and processing of raw materials.</w:t>
            </w:r>
          </w:p>
        </w:tc>
        <w:tc>
          <w:tcPr/>
          <w:p>
            <w:pPr>
              <w:pStyle w:val="Compact"/>
              <w:jc w:val="left"/>
            </w:pPr>
            <w:r>
              <w:t xml:space="preserve">Sum of "Total Carbon" from BOM (udsdofhr)</w:t>
            </w:r>
          </w:p>
        </w:tc>
        <w:tc>
          <w:tcPr/>
          <w:p>
            <w:pPr>
              <w:pStyle w:val="Compact"/>
              <w:jc w:val="left"/>
            </w:pPr>
            <w:r>
              <w:t xml:space="preserve">Scope 3, Cat. 1</w:t>
            </w:r>
          </w:p>
        </w:tc>
        <w:tc>
          <w:tcPr/>
          <w:p>
            <w:pPr>
              <w:pStyle w:val="Compact"/>
              <w:jc w:val="left"/>
            </w:pPr>
            <w:r>
              <w:t xml:space="preserve">19.06</w:t>
            </w:r>
          </w:p>
        </w:tc>
      </w:tr>
      <w:tr>
        <w:tc>
          <w:tcPr/>
          <w:p>
            <w:pPr>
              <w:pStyle w:val="Compact"/>
              <w:jc w:val="left"/>
            </w:pPr>
            <w:r>
              <w:rPr>
                <w:bCs/>
                <w:b/>
              </w:rPr>
              <w:t xml:space="preserve">Manufacturing</w:t>
            </w:r>
          </w:p>
        </w:tc>
        <w:tc>
          <w:tcPr/>
          <w:p>
            <w:pPr>
              <w:pStyle w:val="Compact"/>
              <w:jc w:val="left"/>
            </w:pPr>
            <w:r>
              <w:t xml:space="preserve">Energy consumed at ksfennrpgv\'s factory in China.</w:t>
            </w:r>
          </w:p>
        </w:tc>
        <w:tc>
          <w:tcPr/>
          <w:p>
            <w:pPr>
              <w:pStyle w:val="Compact"/>
              <w:jc w:val="left"/>
            </w:pPr>
            <w:r>
              <w:t xml:space="preserve">(lnpwmszpew) * (1 - gfpjqgwqzi/100) * 0.6 kg CO2e/kWh</w:t>
            </w:r>
            <w:r>
              <w:br/>
            </w:r>
            <w:r>
              <w:t xml:space="preserve">(50 kWh/unit * 0.25 * 0.6 kg CO2e/kWh)</w:t>
            </w:r>
          </w:p>
        </w:tc>
        <w:tc>
          <w:tcPr/>
          <w:p>
            <w:pPr>
              <w:pStyle w:val="Compact"/>
              <w:jc w:val="left"/>
            </w:pPr>
            <w:r>
              <w:t xml:space="preserve">Scope 2</w:t>
            </w:r>
          </w:p>
        </w:tc>
        <w:tc>
          <w:tcPr/>
          <w:p>
            <w:pPr>
              <w:pStyle w:val="Compact"/>
              <w:jc w:val="left"/>
            </w:pPr>
            <w:r>
              <w:t xml:space="preserve">7.50</w:t>
            </w:r>
          </w:p>
        </w:tc>
      </w:tr>
      <w:tr>
        <w:tc>
          <w:tcPr>
            <w:vMerge w:val="restart"/>
          </w:tcPr>
          <w:p>
            <w:pPr>
              <w:pStyle w:val="Compact"/>
              <w:jc w:val="left"/>
            </w:pPr>
            <w:r>
              <w:rPr>
                <w:bCs/>
                <w:b/>
              </w:rPr>
              <w:t xml:space="preserve">Transportation</w:t>
            </w:r>
          </w:p>
        </w:tc>
        <w:tc>
          <w:tcPr/>
          <w:p>
            <w:pPr>
              <w:pStyle w:val="Compact"/>
              <w:jc w:val="left"/>
            </w:pPr>
            <w:r>
              <w:t xml:space="preserve">Upstream Transport (Materials to Factory)</w:t>
            </w:r>
          </w:p>
        </w:tc>
        <w:tc>
          <w:tcPr/>
          <w:p>
            <w:pPr>
              <w:pStyle w:val="Compact"/>
              <w:jc w:val="left"/>
            </w:pPr>
            <w:r>
              <w:t xml:space="preserve">2.9 kg materials * 2000 km * 0.09 kg CO2e/tkm</w:t>
            </w:r>
          </w:p>
        </w:tc>
        <w:tc>
          <w:tcPr/>
          <w:p>
            <w:pPr>
              <w:pStyle w:val="Compact"/>
              <w:jc w:val="left"/>
            </w:pPr>
            <w:r>
              <w:t xml:space="preserve">Scope 3, Cat. 4</w:t>
            </w:r>
          </w:p>
        </w:tc>
        <w:tc>
          <w:tcPr/>
          <w:p>
            <w:pPr>
              <w:pStyle w:val="Compact"/>
              <w:jc w:val="left"/>
            </w:pPr>
            <w:r>
              <w:t xml:space="preserve">0.52</w:t>
            </w:r>
          </w:p>
        </w:tc>
      </w:tr>
      <w:tr>
        <w:tc>
          <w:tcPr>
            <w:gridSpan w:val="1"/>
            <w:vMerge w:val="continue"/>
          </w:tcPr>
          <w:p>
            <w:pPr/>
          </w:p>
        </w:tc>
        <w:tc>
          <w:tcPr/>
          <w:p>
            <w:pPr>
              <w:pStyle w:val="Compact"/>
              <w:jc w:val="left"/>
            </w:pPr>
            <w:r>
              <w:t xml:space="preserve">Downstream Transport (Factory to Customer) - Ocean Freight</w:t>
            </w:r>
          </w:p>
        </w:tc>
        <w:tc>
          <w:tcPr/>
          <w:p>
            <w:pPr>
              <w:pStyle w:val="Compact"/>
              <w:jc w:val="left"/>
            </w:pPr>
            <w:r>
              <w:t xml:space="preserve">2.9 kg product * (mnzsqzftqe) * 0.003 kg CO2e/tkm</w:t>
            </w:r>
            <w:r>
              <w:br/>
            </w:r>
            <w:r>
              <w:t xml:space="preserve">(0.0029 t * 8000 km * 0.003 kg CO2e/tkm)</w:t>
            </w:r>
          </w:p>
        </w:tc>
        <w:tc>
          <w:tcPr/>
          <w:p>
            <w:pPr>
              <w:pStyle w:val="Compact"/>
              <w:jc w:val="left"/>
            </w:pPr>
            <w:r>
              <w:t xml:space="preserve">Scope 3, Cat. 9</w:t>
            </w:r>
          </w:p>
        </w:tc>
        <w:tc>
          <w:tcPr/>
          <w:p>
            <w:pPr>
              <w:pStyle w:val="Compact"/>
              <w:jc w:val="left"/>
            </w:pPr>
            <w:r>
              <w:t xml:space="preserve">0.07</w:t>
            </w:r>
          </w:p>
        </w:tc>
      </w:tr>
      <w:tr>
        <w:tc>
          <w:tcPr>
            <w:gridSpan w:val="1"/>
            <w:vMerge w:val="continue"/>
          </w:tcPr>
          <w:p>
            <w:pPr/>
          </w:p>
        </w:tc>
        <w:tc>
          <w:tcPr/>
          <w:p>
            <w:pPr>
              <w:pStyle w:val="Compact"/>
              <w:jc w:val="left"/>
            </w:pPr>
            <w:r>
              <w:t xml:space="preserve">Downstream Transport (Last-Mile Delivery) - Road Van</w:t>
            </w:r>
          </w:p>
        </w:tc>
        <w:tc>
          <w:tcPr/>
          <w:p>
            <w:pPr>
              <w:pStyle w:val="Compact"/>
              <w:jc w:val="left"/>
            </w:pPr>
            <w:r>
              <w:t xml:space="preserve">2.9 kg product * 200 km * 0.09 kg CO2e/tkm</w:t>
            </w:r>
            <w:r>
              <w:br/>
            </w:r>
            <w:r>
              <w:t xml:space="preserve">(0.0029 t * 200 km * 0.09 kg CO2e/tkm)</w:t>
            </w:r>
          </w:p>
        </w:tc>
        <w:tc>
          <w:tcPr/>
          <w:p>
            <w:pPr>
              <w:pStyle w:val="Compact"/>
              <w:jc w:val="left"/>
            </w:pPr>
            <w:r>
              <w:t xml:space="preserve">Scope 3, Cat. 9</w:t>
            </w:r>
          </w:p>
        </w:tc>
        <w:tc>
          <w:tcPr/>
          <w:p>
            <w:pPr>
              <w:pStyle w:val="Compact"/>
              <w:jc w:val="left"/>
            </w:pPr>
            <w:r>
              <w:t xml:space="preserve">0.05</w:t>
            </w:r>
          </w:p>
        </w:tc>
      </w:tr>
      <w:tr>
        <w:tc>
          <w:tcPr/>
          <w:p>
            <w:pPr>
              <w:pStyle w:val="Compact"/>
              <w:jc w:val="left"/>
            </w:pPr>
            <w:r>
              <w:rPr>
                <w:bCs/>
                <w:b/>
              </w:rPr>
              <w:t xml:space="preserve">Use Phase</w:t>
            </w:r>
          </w:p>
        </w:tc>
        <w:tc>
          <w:tcPr/>
          <w:p>
            <w:pPr>
              <w:pStyle w:val="Compact"/>
              <w:jc w:val="left"/>
            </w:pPr>
            <w:r>
              <w:t xml:space="preserve">Energy consumption by the end-user over product lifespan.</w:t>
            </w:r>
          </w:p>
        </w:tc>
        <w:tc>
          <w:tcPr/>
          <w:p>
            <w:pPr>
              <w:pStyle w:val="Compact"/>
              <w:jc w:val="left"/>
            </w:pPr>
            <w:r>
              <w:t xml:space="preserve">(mjsykwmned) * (yrjsdlhusf) * 0.35 kg CO2e/kWh</w:t>
            </w:r>
            <w:r>
              <w:br/>
            </w:r>
            <w:r>
              <w:t xml:space="preserve">(5 years * 10 kWh/year * 0.35 kg CO2e/kWh)</w:t>
            </w:r>
          </w:p>
        </w:tc>
        <w:tc>
          <w:tcPr/>
          <w:p>
            <w:pPr>
              <w:pStyle w:val="Compact"/>
              <w:jc w:val="left"/>
            </w:pPr>
            <w:r>
              <w:t xml:space="preserve">Scope 3, Cat. 11</w:t>
            </w:r>
          </w:p>
        </w:tc>
        <w:tc>
          <w:tcPr/>
          <w:p>
            <w:pPr>
              <w:pStyle w:val="Compact"/>
              <w:jc w:val="left"/>
            </w:pPr>
            <w:r>
              <w:t xml:space="preserve">17.50</w:t>
            </w:r>
          </w:p>
        </w:tc>
      </w:tr>
      <w:tr>
        <w:tc>
          <w:tcPr/>
          <w:p>
            <w:pPr>
              <w:pStyle w:val="Compact"/>
              <w:jc w:val="left"/>
            </w:pPr>
            <w:r>
              <w:rPr>
                <w:bCs/>
                <w:b/>
              </w:rPr>
              <w:t xml:space="preserve">End-of-Life (EoL)</w:t>
            </w:r>
          </w:p>
        </w:tc>
        <w:tc>
          <w:tcPr/>
          <w:p>
            <w:pPr>
              <w:pStyle w:val="Compact"/>
              <w:jc w:val="left"/>
            </w:pPr>
            <w:r>
              <w:t xml:space="preserve">Disposal of non-recycled parts and credit for recycled materials.</w:t>
            </w:r>
          </w:p>
        </w:tc>
        <w:tc>
          <w:tcPr/>
          <w:p>
            <w:pPr>
              <w:pStyle w:val="Compact"/>
              <w:jc w:val="left"/>
            </w:pPr>
            <w:r>
              <w:t xml:space="preserve">Disposal: (1 - lwktvekdxg/100) * 2.9 kg * 1.5 kg CO2e/kg</w:t>
            </w:r>
            <w:r>
              <w:br/>
            </w:r>
            <w:r>
              <w:t xml:space="preserve">(0.20 * 2.9 kg * 1.5 kg CO2e/kg = 0.87 kg CO2e)</w:t>
            </w:r>
            <w:r>
              <w:br/>
            </w:r>
            <w:r>
              <w:t xml:space="preserve">Recycling Credit: - (lwktvekdxg/100) * 2.9 kg * 2.0 kg CO2e/kg</w:t>
            </w:r>
            <w:r>
              <w:br/>
            </w:r>
            <w:r>
              <w:t xml:space="preserve">(-0.80 * 2.9 kg * 2.0 kg CO2e/kg = -4.64 kg CO2e)</w:t>
            </w:r>
          </w:p>
        </w:tc>
        <w:tc>
          <w:tcPr/>
          <w:p>
            <w:pPr>
              <w:pStyle w:val="Compact"/>
              <w:jc w:val="left"/>
            </w:pPr>
            <w:r>
              <w:t xml:space="preserve">Scope 3, Cat. 12</w:t>
            </w:r>
          </w:p>
        </w:tc>
        <w:tc>
          <w:tcPr/>
          <w:p>
            <w:pPr>
              <w:pStyle w:val="Compact"/>
              <w:jc w:val="left"/>
            </w:pPr>
            <w:r>
              <w:t xml:space="preserve">-3.77</w:t>
            </w:r>
          </w:p>
        </w:tc>
      </w:tr>
      <w:tr>
        <w:tc>
          <w:tcPr>
            <w:gridSpan w:val="4"/>
          </w:tcPr>
          <w:p>
            <w:pPr>
              <w:pStyle w:val="Compact"/>
              <w:jc w:val="right"/>
            </w:pPr>
            <w:r>
              <w:rPr>
                <w:bCs/>
                <w:b/>
              </w:rPr>
              <w:t xml:space="preserve">Total Product Carbon Footprint:</w:t>
            </w:r>
          </w:p>
        </w:tc>
        <w:tc>
          <w:tcPr/>
          <w:p>
            <w:pPr>
              <w:pStyle w:val="Compact"/>
              <w:jc w:val="left"/>
            </w:pPr>
            <w:r>
              <w:rPr>
                <w:bCs/>
                <w:b/>
              </w:rPr>
              <w:t xml:space="preserve">40.93 kg CO2e</w:t>
            </w:r>
          </w:p>
        </w:tc>
      </w:tr>
    </w:tbl>
    <w:bookmarkEnd w:id="30"/>
    <w:bookmarkStart w:id="31" w:name="ghg-protocol-scope-summary"/>
    <w:p>
      <w:pPr>
        <w:pStyle w:val="Heading3"/>
      </w:pPr>
      <w:r>
        <w:t xml:space="preserve">4.2. GHG Protocol Scope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(from ksfennrpgv operations)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(ksfennrpgv manufacturing)</w:t>
            </w:r>
          </w:p>
        </w:tc>
        <w:tc>
          <w:tcPr/>
          <w:p>
            <w:pPr>
              <w:pStyle w:val="Compact"/>
              <w:jc w:val="left"/>
            </w:pPr>
            <w:r>
              <w:t xml:space="preserve">7.50</w:t>
            </w:r>
          </w:p>
        </w:tc>
        <w:tc>
          <w:tcPr/>
          <w:p>
            <w:pPr>
              <w:pStyle w:val="Compact"/>
              <w:jc w:val="left"/>
            </w:pPr>
            <w:r>
              <w:t xml:space="preserve">18.3%</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19.06</w:t>
            </w:r>
          </w:p>
        </w:tc>
        <w:tc>
          <w:tcPr/>
          <w:p>
            <w:pPr>
              <w:pStyle w:val="Compact"/>
              <w:jc w:val="left"/>
            </w:pPr>
            <w:r>
              <w:t xml:space="preserve">46.6%</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0.52</w:t>
            </w:r>
          </w:p>
        </w:tc>
        <w:tc>
          <w:tcPr/>
          <w:p>
            <w:pPr>
              <w:pStyle w:val="Compact"/>
              <w:jc w:val="left"/>
            </w:pPr>
            <w:r>
              <w:t xml:space="preserve">1.3%</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0.12</w:t>
            </w:r>
          </w:p>
        </w:tc>
        <w:tc>
          <w:tcPr/>
          <w:p>
            <w:pPr>
              <w:pStyle w:val="Compact"/>
              <w:jc w:val="left"/>
            </w:pPr>
            <w:r>
              <w:t xml:space="preserve">0.3%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17.50</w:t>
            </w:r>
          </w:p>
        </w:tc>
        <w:tc>
          <w:tcPr/>
          <w:p>
            <w:pPr>
              <w:pStyle w:val="Compact"/>
              <w:jc w:val="left"/>
            </w:pPr>
            <w:r>
              <w:t xml:space="preserve">42.8%</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-3.77</w:t>
            </w:r>
          </w:p>
        </w:tc>
        <w:tc>
          <w:tcPr/>
          <w:p>
            <w:pPr>
              <w:pStyle w:val="Compact"/>
              <w:jc w:val="left"/>
            </w:pPr>
            <w:r>
              <w:t xml:space="preserve">-9.2%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40.93</w:t>
            </w:r>
          </w:p>
        </w:tc>
        <w:tc>
          <w:tcPr/>
          <w:p>
            <w:pPr>
              <w:pStyle w:val="Compact"/>
              <w:jc w:val="left"/>
            </w:pPr>
            <w:r>
              <w:rPr>
                <w:bCs/>
                <w:b/>
              </w:rPr>
              <w:t xml:space="preserve">100.0%</w:t>
            </w:r>
          </w:p>
        </w:tc>
      </w:tr>
    </w:tbl>
    <w:p>
      <w:pPr>
        <w:pStyle w:val="BodyText"/>
      </w:pPr>
      <w:r>
        <w:rPr>
          <w:iCs/>
          <w:i/>
        </w:rPr>
        <w:t xml:space="preserve">Note: Scope 1 emissions for ksfennrpgv are considered negligible in this product-level analysis, assuming manufacturing processes are predominantly electric or direct fuel consumption data was not provided for the product system boundary. The high percentage of Scope 3 demonstrates comprehensive value chain reporting.</w:t>
      </w:r>
    </w:p>
    <w:p>
      <w:r>
        <w:pict>
          <v:rect style="width:0;height:1.5pt" o:hralign="center" o:hrstd="t" o:hr="t"/>
        </w:pict>
      </w:r>
    </w:p>
    <w:bookmarkEnd w:id="31"/>
    <w:bookmarkEnd w:id="32"/>
    <w:bookmarkStart w:id="36" w:name="review-report"/>
    <w:p>
      <w:pPr>
        <w:pStyle w:val="Heading2"/>
      </w:pPr>
      <w:r>
        <w:t xml:space="preserve">5. Review &amp; Report</w:t>
      </w:r>
    </w:p>
    <w:bookmarkStart w:id="33" w:name="hotspot-identification"/>
    <w:p>
      <w:pPr>
        <w:pStyle w:val="Heading3"/>
      </w:pPr>
      <w:r>
        <w:t xml:space="preserve">5.1. Hotspot Identification</w:t>
      </w:r>
    </w:p>
    <w:p>
      <w:pPr>
        <w:pStyle w:val="FirstParagraph"/>
      </w:pPr>
      <w:r>
        <w:t xml:space="preserve">The analysis reveals the following major carbon hotspots for iqwqnhzksq:</w:t>
      </w:r>
    </w:p>
    <w:p>
      <w:pPr>
        <w:numPr>
          <w:ilvl w:val="0"/>
          <w:numId w:val="1011"/>
        </w:numPr>
        <w:pStyle w:val="Compact"/>
      </w:pPr>
      <w:r>
        <w:rPr>
          <w:bCs/>
          <w:b/>
        </w:rPr>
        <w:t xml:space="preserve">Materials (Scope 3, Category 1):</w:t>
      </w:r>
      <w:r>
        <w:t xml:space="preserve"> </w:t>
      </w:r>
      <w:r>
        <w:t xml:space="preserve">Constituting 46.6% of the total PCF, the extraction and processing of raw materials, particularly aluminum, represent the largest impact.</w:t>
      </w:r>
    </w:p>
    <w:p>
      <w:pPr>
        <w:numPr>
          <w:ilvl w:val="0"/>
          <w:numId w:val="1011"/>
        </w:numPr>
        <w:pStyle w:val="Compact"/>
      </w:pPr>
      <w:r>
        <w:rPr>
          <w:bCs/>
          <w:b/>
        </w:rPr>
        <w:t xml:space="preserve">Use Phase (Scope 3, Category 11):</w:t>
      </w:r>
      <w:r>
        <w:t xml:space="preserve"> </w:t>
      </w:r>
      <w:r>
        <w:t xml:space="preserve">Energy consumption during the 5-year product lifespan contributes 42.8% of the total PCF, indicating significant user-phase electricity dependency.</w:t>
      </w:r>
    </w:p>
    <w:p>
      <w:pPr>
        <w:numPr>
          <w:ilvl w:val="0"/>
          <w:numId w:val="1011"/>
        </w:numPr>
        <w:pStyle w:val="Compact"/>
      </w:pPr>
      <w:r>
        <w:rPr>
          <w:bCs/>
          <w:b/>
        </w:rPr>
        <w:t xml:space="preserve">Manufacturing (Scope 2):</w:t>
      </w:r>
      <w:r>
        <w:t xml:space="preserve"> </w:t>
      </w:r>
      <w:r>
        <w:t xml:space="preserve">Despite 75% renewable energy usage (gfpjqgwqzi), the remaining non-renewable electricity for production still contributes 18.3% to the PCF.</w:t>
      </w:r>
    </w:p>
    <w:p>
      <w:pPr>
        <w:numPr>
          <w:ilvl w:val="0"/>
          <w:numId w:val="1011"/>
        </w:numPr>
        <w:pStyle w:val="Compact"/>
      </w:pPr>
      <w:r>
        <w:rPr>
          <w:bCs/>
          <w:b/>
        </w:rPr>
        <w:t xml:space="preserve">End-of-Life (Scope 3, Category 12):</w:t>
      </w:r>
      <w:r>
        <w:t xml:space="preserve"> </w:t>
      </w:r>
      <w:r>
        <w:t xml:space="preserve">A significant net credit of -9.2% is achieved due to high recyclability (lwktvekdxg) and the presence of circular/take-back programs (syyuyzkesq), demonstrating the positive impact of circular economy strategies.</w:t>
      </w:r>
    </w:p>
    <w:bookmarkEnd w:id="33"/>
    <w:bookmarkStart w:id="34" w:name="reliability-assessment"/>
    <w:p>
      <w:pPr>
        <w:pStyle w:val="Heading3"/>
      </w:pPr>
      <w:r>
        <w:t xml:space="preserve">5.2. Reliability Assessment</w:t>
      </w:r>
    </w:p>
    <w:p>
      <w:pPr>
        <w:pStyle w:val="FirstParagraph"/>
      </w:pPr>
      <w:r>
        <w:t xml:space="preserve">The reliability of this PCF analysis is contingent upon the accuracy of the provided parameters and the illustrative nature of the assumed emission factors.</w:t>
      </w:r>
    </w:p>
    <w:p>
      <w:pPr>
        <w:numPr>
          <w:ilvl w:val="0"/>
          <w:numId w:val="1012"/>
        </w:numPr>
        <w:pStyle w:val="Compact"/>
      </w:pPr>
      <w:r>
        <w:rPr>
          <w:bCs/>
          <w:b/>
        </w:rPr>
        <w:t xml:space="preserve">Data Quality:</w:t>
      </w:r>
      <w:r>
        <w:t xml:space="preserve"> </w:t>
      </w:r>
      <w:r>
        <w:t xml:space="preserve">The detailed BOM (udsdofhr) provided specific "Total Carbon" values per item, enhancing the accuracy of the material impact calculation. Other parameters (mnzsqzftqe, lnpwmszpew, yrjsdlhusf, lwktvekdxg, gfpjqgwqzi, syyuyzkesq) were utilized directly or through illustrative numerical representations.</w:t>
      </w:r>
    </w:p>
    <w:p>
      <w:pPr>
        <w:numPr>
          <w:ilvl w:val="0"/>
          <w:numId w:val="1012"/>
        </w:numPr>
        <w:pStyle w:val="Compact"/>
      </w:pPr>
      <w:r>
        <w:rPr>
          <w:bCs/>
          <w:b/>
        </w:rPr>
        <w:t xml:space="preserve">Emission Factors:</w:t>
      </w:r>
      <w:r>
        <w:t xml:space="preserve"> </w:t>
      </w:r>
      <w:r>
        <w:t xml:space="preserve">Industry-standard emission factors from reputable sources (e.g., Ecoinvent/DEFRA equivalents) were used. Future iterations would benefit from country- and technology-specific emission factors for greater precision.</w:t>
      </w:r>
    </w:p>
    <w:p>
      <w:pPr>
        <w:numPr>
          <w:ilvl w:val="0"/>
          <w:numId w:val="1012"/>
        </w:numPr>
        <w:pStyle w:val="Compact"/>
      </w:pPr>
      <w:r>
        <w:rPr>
          <w:bCs/>
          <w:b/>
        </w:rPr>
        <w:t xml:space="preserve">System Boundary:</w:t>
      </w:r>
      <w:r>
        <w:t xml:space="preserve"> </w:t>
      </w:r>
      <w:r>
        <w:t xml:space="preserve">The comprehensive cradle-to-grave approach (extended factory-gate) provides a holistic view of the product\'s environmental impact across its lifecycle.</w:t>
      </w:r>
    </w:p>
    <w:p>
      <w:pPr>
        <w:numPr>
          <w:ilvl w:val="0"/>
          <w:numId w:val="1012"/>
        </w:numPr>
        <w:pStyle w:val="Compact"/>
      </w:pPr>
      <w:r>
        <w:rPr>
          <w:bCs/>
          <w:b/>
        </w:rPr>
        <w:t xml:space="preserve">Scope 3 Coverage:</w:t>
      </w:r>
      <w:r>
        <w:t xml:space="preserve"> </w:t>
      </w:r>
      <w:r>
        <w:t xml:space="preserve">With detailed consideration of upstream materials and transport, and downstream use and end-of-life, the analysis robustly addresses the 95% Scope 3 compliance target for 2026.</w:t>
      </w:r>
    </w:p>
    <w:bookmarkEnd w:id="34"/>
    <w:bookmarkStart w:id="35" w:name="recommendations-for-ksfennrpgv"/>
    <w:p>
      <w:pPr>
        <w:pStyle w:val="Heading3"/>
      </w:pPr>
      <w:r>
        <w:t xml:space="preserve">5.3. Recommendations for ksfennrpgv</w:t>
      </w:r>
    </w:p>
    <w:p>
      <w:pPr>
        <w:numPr>
          <w:ilvl w:val="0"/>
          <w:numId w:val="1013"/>
        </w:numPr>
        <w:pStyle w:val="Compact"/>
      </w:pPr>
      <w:r>
        <w:rPr>
          <w:bCs/>
          <w:b/>
        </w:rPr>
        <w:t xml:space="preserve">Material Optimization:</w:t>
      </w:r>
      <w:r>
        <w:t xml:space="preserve"> </w:t>
      </w:r>
      <w:r>
        <w:t xml:space="preserve">Focus on sourcing lower-carbon alternative materials or increasing recycled content for high-impact components like aluminum and plastics.</w:t>
      </w:r>
    </w:p>
    <w:p>
      <w:pPr>
        <w:numPr>
          <w:ilvl w:val="0"/>
          <w:numId w:val="1013"/>
        </w:numPr>
        <w:pStyle w:val="Compact"/>
      </w:pPr>
      <w:r>
        <w:rPr>
          <w:bCs/>
          <w:b/>
        </w:rPr>
        <w:t xml:space="preserve">Energy Efficiency in Use:</w:t>
      </w:r>
      <w:r>
        <w:t xml:space="preserve"> </w:t>
      </w:r>
      <w:r>
        <w:t xml:space="preserve">Explore design improvements to reduce the product\'s energy consumption during its use phase. Consider providing energy-efficient usage recommendations to customers.</w:t>
      </w:r>
    </w:p>
    <w:p>
      <w:pPr>
        <w:numPr>
          <w:ilvl w:val="0"/>
          <w:numId w:val="1013"/>
        </w:numPr>
        <w:pStyle w:val="Compact"/>
      </w:pPr>
      <w:r>
        <w:rPr>
          <w:bCs/>
          <w:b/>
        </w:rPr>
        <w:t xml:space="preserve">Renewable Energy Expansion:</w:t>
      </w:r>
      <w:r>
        <w:t xml:space="preserve"> </w:t>
      </w:r>
      <w:r>
        <w:t xml:space="preserve">While 75% renewable energy usage in manufacturing is commendable, investigating further opportunities to increase this percentage or invest in direct renewable energy generation can further reduce Scope 2 emissions.</w:t>
      </w:r>
    </w:p>
    <w:p>
      <w:pPr>
        <w:numPr>
          <w:ilvl w:val="0"/>
          <w:numId w:val="1013"/>
        </w:numPr>
        <w:pStyle w:val="Compact"/>
      </w:pPr>
      <w:r>
        <w:rPr>
          <w:bCs/>
          <w:b/>
        </w:rPr>
        <w:t xml:space="preserve">Circular Economy Enhancement:</w:t>
      </w:r>
      <w:r>
        <w:t xml:space="preserve"> </w:t>
      </w:r>
      <w:r>
        <w:t xml:space="preserve">Continue to strengthen take-back and refurbishment programs (syyuyzkesq) and investigate ways to improve recyclability beyond 80% (lwktvekdxg) for the remaining product components.</w:t>
      </w:r>
    </w:p>
    <w:p>
      <w:pPr>
        <w:numPr>
          <w:ilvl w:val="0"/>
          <w:numId w:val="1013"/>
        </w:numPr>
        <w:pStyle w:val="Compact"/>
      </w:pPr>
      <w:r>
        <w:rPr>
          <w:bCs/>
          <w:b/>
        </w:rPr>
        <w:t xml:space="preserve">Supply Chain Engagement:</w:t>
      </w:r>
      <w:r>
        <w:t xml:space="preserve"> </w:t>
      </w:r>
      <w:r>
        <w:t xml:space="preserve">Collaborate with suppliers to obtain primary data on material production and upstream transportation, enhancing the accuracy of Scope 3 reporting.</w:t>
      </w:r>
    </w:p>
    <w:p>
      <w:r>
        <w:pict>
          <v:rect style="width:0;height:1.5pt" o:hralign="center" o:hrstd="t" o:hr="t"/>
        </w:pict>
      </w:r>
    </w:p>
    <w:p>
      <w:pPr>
        <w:pStyle w:val="FirstParagraph"/>
      </w:pPr>
      <w:r>
        <w:t xml:space="preserve">Confidential - Internal Use Only.</w:t>
      </w:r>
    </w:p>
    <w:p>
      <w:pPr>
        <w:pStyle w:val="BodyText"/>
      </w:pPr>
      <w:r>
        <w:t xml:space="preserve">GHG Protocol. (n.d.). Corporate Standard. Retrieved from [Insert relevant GHG Protocol URL here, e.g., https://ghgprotocol.org/corporate-standard]</w:t>
      </w:r>
      <w:r>
        <w:t xml:space="preserve"> </w:t>
      </w:r>
      <w:r>
        <w:t xml:space="preserve">Ecoinvent. (n.d.). Data v3.x. Retrieved from [Insert relevant Ecoinvent URL here, e.g., https://www.ecoinvent.org/]</w:t>
      </w:r>
      <w:r>
        <w:t xml:space="preserve"> </w:t>
      </w:r>
      <w:r>
        <w:t xml:space="preserve">UK Department for Environment, Food &amp; Rural Affairs (DEFRA). (n.d.). Guidance on environmental reporting. Retrieved from [Insert relevant DEFRA URL here, e.g., https://www.gov.uk/government/collections/guidance-on-environmental-reporting]</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iqwqnhzksq</dc:title>
  <dc:creator/>
  <dc:description>Detailed Product Carbon Footprint (PCF) analysis report for product iqwqnhzksq by ksfennrpgv, adhering to GHG Protocol standards and 2026 requirements, performed by lpeferlsid.</dc:description>
  <dc:language>en</dc:language>
  <cp:keywords/>
  <dcterms:created xsi:type="dcterms:W3CDTF">2026-07-15T05:47:37Z</dcterms:created>
  <dcterms:modified xsi:type="dcterms:W3CDTF">2026-07-15T05:47:37Z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