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iqlwppgguo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iqlwppgguo</w:t>
      </w:r>
    </w:p>
    <w:p>
      <w:pPr>
        <w:pStyle w:val="BodyText"/>
      </w:pPr>
      <w:r>
        <w:rPr>
          <w:bCs/>
          <w:b/>
        </w:rPr>
        <w:t xml:space="preserve">Company:</w:t>
      </w:r>
      <w:r>
        <w:t xml:space="preserve"> </w:t>
      </w:r>
      <w:r>
        <w:t xml:space="preserve">lduydllqji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yfpjgkhyvp</w:t>
      </w:r>
    </w:p>
    <w:p>
      <w:pPr>
        <w:pStyle w:val="BodyText"/>
      </w:pPr>
      <w:r>
        <w:t xml:space="preserve">This report is generated based on available data and industry standards, utilizing plausible assumptions where specific data was not provided. The calculations aim to demonstrate the methodology and identify key impact areas.</w:t>
      </w:r>
    </w:p>
    <w:p>
      <w:pPr>
        <w:pStyle w:val="BodyText"/>
      </w:pPr>
      <w:r>
        <w:t xml:space="preserve">Generated Date: May 22, 2026</w:t>
      </w:r>
    </w:p>
    <w:bookmarkEnd w:id="20"/>
    <w:bookmarkStart w:id="49" w:name="X8d1ccefbebcbcc4a0a009e2e04cc61f3c543c82"/>
    <w:p>
      <w:pPr>
        <w:pStyle w:val="Heading1"/>
      </w:pPr>
      <w:r>
        <w:t xml:space="preserve">Product Carbon Footprint Analysis Report: iqlwppgguo</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iqlwppgguo, prepared for lduydllqji by yfpjgkhyvp, Senior Sustainability Consultant. The analysis strictly adheres to the GHG Protocol standards, with particular attention to Scope 1, 2, and 3 emissions, and incorporates insights from the 2026 Land Sector and Removals (LSR) Standard update. The primary system boundary for the core PCF is \'factory_gate\', with additional calculations provided for the \'use phase\' and \'end-of-life\' scenarios as requested, offering a comprehensive cradle-to-grave perspective.</w:t>
      </w:r>
    </w:p>
    <w:p>
      <w:pPr>
        <w:pStyle w:val="BodyText"/>
      </w:pPr>
      <w:r>
        <w:t xml:space="preserve">The total Product Carbon Footprint for one functional unit of iqlwppgguo, considering a cradle-to-gate boundary, is estimated at</w:t>
      </w:r>
      <w:r>
        <w:t xml:space="preserve"> </w:t>
      </w:r>
      <w:r>
        <w:rPr>
          <w:bCs/>
          <w:b/>
        </w:rPr>
        <w:t xml:space="preserve">10.04 kg CO2e</w:t>
      </w:r>
      <w:r>
        <w:t xml:space="preserve">. Extending this to a cradle-to-grave scope, including the use phase and end-of-life, the total PCF is estimated at</w:t>
      </w:r>
      <w:r>
        <w:t xml:space="preserve"> </w:t>
      </w:r>
      <w:r>
        <w:rPr>
          <w:bCs/>
          <w:b/>
        </w:rPr>
        <w:t xml:space="preserve">19.43 kg CO2e</w:t>
      </w:r>
      <w:r>
        <w:t xml:space="preserve">. Key emission hotspots include materials acquisition and manufacturing energy consumption, as well as the energy-intensive use phase.</w:t>
      </w:r>
    </w:p>
    <w:p>
      <w:r>
        <w:pict>
          <v:rect style="width:0;height:1.5pt" o:hralign="center" o:hrstd="t" o:hr="t"/>
        </w:pict>
      </w:r>
    </w:p>
    <w:bookmarkEnd w:id="21"/>
    <w:bookmarkStart w:id="27" w:name="defining-the-scope-of-analysis"/>
    <w:p>
      <w:pPr>
        <w:pStyle w:val="Heading2"/>
      </w:pPr>
      <w:r>
        <w:t xml:space="preserve">1. Defining the Scope of Analysis</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iqlwppgguo</w:t>
      </w:r>
      <w:r>
        <w:t xml:space="preserve">.</w:t>
      </w:r>
    </w:p>
    <w:bookmarkEnd w:id="22"/>
    <w:bookmarkStart w:id="23" w:name="system-boundary"/>
    <w:p>
      <w:pPr>
        <w:pStyle w:val="Heading3"/>
      </w:pPr>
      <w:r>
        <w:t xml:space="preserve">1.2 System Boundary</w:t>
      </w:r>
    </w:p>
    <w:p>
      <w:pPr>
        <w:pStyle w:val="FirstParagraph"/>
      </w:pPr>
      <w:r>
        <w:t xml:space="preserve">The primary system boundary for this analysis is defined as</w:t>
      </w:r>
      <w:r>
        <w:t xml:space="preserve"> </w:t>
      </w:r>
      <w:r>
        <w:rPr>
          <w:bCs/>
          <w:b/>
        </w:rPr>
        <w:t xml:space="preserve">factory_gate</w:t>
      </w:r>
      <w:r>
        <w:t xml:space="preserve">. This encompasses all emissions from raw material extraction, pre-processing, and manufacturing processes up to the point where the finished product leaves the factory gate. Additionally, as per the request, an extended analysis is provided to include the \'use phase\' and \'end-of-life\' scenarios, offering a comprehensive cradle-to-grave assessment.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w:t>
      </w:r>
      <w:r>
        <w:t xml:space="preserve">, categorizing emissions into Scope 1 (direct), Scope 2 (purchased energy), and Scope 3 (value chain).</w:t>
      </w:r>
    </w:p>
    <w:bookmarkEnd w:id="25"/>
    <w:bookmarkStart w:id="26" w:name="allocation"/>
    <w:p>
      <w:pPr>
        <w:pStyle w:val="Heading3"/>
      </w:pPr>
      <w:r>
        <w:t xml:space="preserve">1.5 Allocation</w:t>
      </w:r>
    </w:p>
    <w:p>
      <w:pPr>
        <w:pStyle w:val="FirstParagraph"/>
      </w:pPr>
      <w:r>
        <w:t xml:space="preserve">Given the focus on a specific product and the availability of detailed Bill of Materials (BOM) data, a direct attribution approach has been used for emission allocation. Emissions are directly assigned to the functional unit based on material quantities, energy consumption, and transport distances specific to iqlwppgguo.</w:t>
      </w:r>
    </w:p>
    <w:p>
      <w:r>
        <w:pict>
          <v:rect style="width:0;height:1.5pt" o:hralign="center" o:hrstd="t" o:hr="t"/>
        </w:pict>
      </w:r>
    </w:p>
    <w:bookmarkEnd w:id="26"/>
    <w:bookmarkEnd w:id="27"/>
    <w:bookmarkStart w:id="34" w:name="mapping-the-lifecycle-3.-collecting-data"/>
    <w:p>
      <w:pPr>
        <w:pStyle w:val="Heading2"/>
      </w:pPr>
      <w:r>
        <w:t xml:space="preserve">2. Mapping the Lifecycle &amp; 3. Collecting Data</w:t>
      </w:r>
    </w:p>
    <w:p>
      <w:pPr>
        <w:pStyle w:val="FirstParagraph"/>
      </w:pPr>
      <w:r>
        <w:t xml:space="preserve">The lifecycle of iqlwppgguo is mapped across key stages, from material acquisition to end-of-life. Data collection involved utilizing the provided parameters, supplemented with industry-standard emission factors from recognized databases (such as IEA, DEFRA, Ecoinvent proxies) where specific values were not available.</w:t>
      </w:r>
    </w:p>
    <w:bookmarkStart w:id="29" w:name="X8f0ba385020459848d6c8bb4f450aac88edd77e"/>
    <w:p>
      <w:pPr>
        <w:pStyle w:val="Heading3"/>
      </w:pPr>
      <w:r>
        <w:t xml:space="preserve">2.1 Bill of Materials (BOM) and Material Acquisition (Scope 3, Category 1)</w:t>
      </w:r>
    </w:p>
    <w:p>
      <w:pPr>
        <w:pStyle w:val="FirstParagraph"/>
      </w:pPr>
      <w:r>
        <w:t xml:space="preserve">The user provided \'wpvqkwpl\' as the Detailed Bill of Materials. As \'wpvqkwpl\' was a string placeholder rather than structured data, a sample BOM has been constructed following the specified format (ID, Description, Category, Process, Qty, Unit, Emission Factor, Total Carbon) to demonstrate the calculation methodology. The Emission Factor for each material represents its cradle-to-gate impact.</w:t>
      </w:r>
    </w:p>
    <w:bookmarkStart w:id="28" w:name="X0a05088eeab784e70fd0c8dcf4df13ddf64635d"/>
    <w:p>
      <w:pPr>
        <w:pStyle w:val="Heading4"/>
      </w:pPr>
      <w:r>
        <w:t xml:space="preserve">Sample Detailed Bill of Materials for iqlwppgguo</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Mill</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4.75 kgCO2e</w:t>
            </w:r>
          </w:p>
        </w:tc>
      </w:tr>
    </w:tbl>
    <w:p>
      <w:pPr>
        <w:pStyle w:val="BodyText"/>
      </w:pPr>
      <w:r>
        <w:t xml:space="preserve">*Note: PCB quantity assumed at 0.05 kg for calculation demonstration.</w:t>
      </w:r>
    </w:p>
    <w:bookmarkEnd w:id="28"/>
    <w:bookmarkEnd w:id="29"/>
    <w:bookmarkStart w:id="30" w:name="production-phase-manufacturing"/>
    <w:p>
      <w:pPr>
        <w:pStyle w:val="Heading3"/>
      </w:pPr>
      <w:r>
        <w:t xml:space="preserve">2.2 Production Phase (Manufacturing)</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40% (of purchased electricity at factory)</w:t>
      </w:r>
    </w:p>
    <w:p>
      <w:pPr>
        <w:numPr>
          <w:ilvl w:val="0"/>
          <w:numId w:val="1002"/>
        </w:numPr>
        <w:pStyle w:val="Compact"/>
      </w:pPr>
      <w:r>
        <w:rPr>
          <w:bCs/>
          <w:b/>
        </w:rPr>
        <w:t xml:space="preserve">Non-Renewable Energy Usage:</w:t>
      </w:r>
      <w:r>
        <w:t xml:space="preserve"> </w:t>
      </w:r>
      <w:r>
        <w:t xml:space="preserve">60%</w:t>
      </w:r>
    </w:p>
    <w:p>
      <w:pPr>
        <w:numPr>
          <w:ilvl w:val="0"/>
          <w:numId w:val="1002"/>
        </w:numPr>
        <w:pStyle w:val="Compact"/>
      </w:pPr>
      <w:r>
        <w:rPr>
          <w:bCs/>
          <w:b/>
        </w:rPr>
        <w:t xml:space="preserve">China Grid Electricity Emission Factor:</w:t>
      </w:r>
      <w:r>
        <w:t xml:space="preserve"> </w:t>
      </w:r>
      <w:r>
        <w:t xml:space="preserve">0.58 kg CO2e/kWh (averaged from IEA 2021, MEE 2021, Consumer Ecology, and UNECE Wiki)</w:t>
      </w:r>
    </w:p>
    <w:bookmarkEnd w:id="30"/>
    <w:bookmarkStart w:id="31" w:name="X8b4099182453b736596bc1e12959e67dfe6b915"/>
    <w:p>
      <w:pPr>
        <w:pStyle w:val="Heading3"/>
      </w:pPr>
      <w:r>
        <w:t xml:space="preserve">2.3 Transport (Supply Chain Focus: Europe Focused) (Scope 3, Category 4)</w:t>
      </w:r>
    </w:p>
    <w:p>
      <w:pPr>
        <w:numPr>
          <w:ilvl w:val="0"/>
          <w:numId w:val="1003"/>
        </w:numPr>
        <w:pStyle w:val="Compact"/>
      </w:pPr>
      <w:r>
        <w:rPr>
          <w:bCs/>
          <w:b/>
        </w:rPr>
        <w:t xml:space="preserve">Transport Mode (Main):</w:t>
      </w:r>
      <w:r>
        <w:t xml:space="preserve"> </w:t>
      </w:r>
      <w:r>
        <w:t xml:space="preserve">Road Freight, HGV &gt; 3.5-7.5t</w:t>
      </w:r>
    </w:p>
    <w:p>
      <w:pPr>
        <w:numPr>
          <w:ilvl w:val="0"/>
          <w:numId w:val="1003"/>
        </w:numPr>
        <w:pStyle w:val="Compact"/>
      </w:pPr>
      <w:r>
        <w:rPr>
          <w:bCs/>
          <w:b/>
        </w:rPr>
        <w:t xml:space="preserve">Transport Distance:</w:t>
      </w:r>
      <w:r>
        <w:t xml:space="preserve"> </w:t>
      </w:r>
      <w:r>
        <w:t xml:space="preserve">500 km (assumed for upstream supply to factory)</w:t>
      </w:r>
    </w:p>
    <w:p>
      <w:pPr>
        <w:numPr>
          <w:ilvl w:val="0"/>
          <w:numId w:val="1003"/>
        </w:numPr>
        <w:pStyle w:val="Compact"/>
      </w:pPr>
      <w:r>
        <w:rPr>
          <w:bCs/>
          <w:b/>
        </w:rPr>
        <w:t xml:space="preserve">Last-Mile Delivery Channel:</w:t>
      </w:r>
      <w:r>
        <w:t xml:space="preserve"> </w:t>
      </w:r>
      <w:r>
        <w:t xml:space="preserve">Road Freight, Van</w:t>
      </w:r>
    </w:p>
    <w:p>
      <w:pPr>
        <w:numPr>
          <w:ilvl w:val="0"/>
          <w:numId w:val="1003"/>
        </w:numPr>
        <w:pStyle w:val="Compact"/>
      </w:pPr>
      <w:r>
        <w:rPr>
          <w:bCs/>
          <w:b/>
        </w:rPr>
        <w:t xml:space="preserve">Assumed Product Mass for Transport:</w:t>
      </w:r>
      <w:r>
        <w:t xml:space="preserve"> </w:t>
      </w:r>
      <w:r>
        <w:t xml:space="preserve">0.9 kg (sum of material quantities from sample BOM) = 0.0009 tonnes</w:t>
      </w:r>
    </w:p>
    <w:p>
      <w:pPr>
        <w:numPr>
          <w:ilvl w:val="0"/>
          <w:numId w:val="1003"/>
        </w:numPr>
        <w:pStyle w:val="Compact"/>
      </w:pPr>
      <w:r>
        <w:rPr>
          <w:bCs/>
          <w:b/>
        </w:rPr>
        <w:t xml:space="preserve">HGV Emission Factor:</w:t>
      </w:r>
      <w:r>
        <w:t xml:space="preserve"> </w:t>
      </w:r>
      <w:r>
        <w:t xml:space="preserve">0.15 kg CO2e/tonne-km (McKinnon average for road transport operations, adjusted for HGV &gt; 3.5-7.5t)</w:t>
      </w:r>
    </w:p>
    <w:p>
      <w:pPr>
        <w:numPr>
          <w:ilvl w:val="0"/>
          <w:numId w:val="1003"/>
        </w:numPr>
        <w:pStyle w:val="Compact"/>
      </w:pPr>
      <w:r>
        <w:rPr>
          <w:bCs/>
          <w:b/>
        </w:rPr>
        <w:t xml:space="preserve">Van Emission Factor:</w:t>
      </w:r>
      <w:r>
        <w:t xml:space="preserve"> </w:t>
      </w:r>
      <w:r>
        <w:t xml:space="preserve">0.25 kg CO2e/tonne-km (representative for less-than-truckload or dry van in North America, used as proxy for European last-mile van)</w:t>
      </w:r>
    </w:p>
    <w:bookmarkEnd w:id="31"/>
    <w:bookmarkStart w:id="32" w:name="use-phase-scope-3-category-11"/>
    <w:p>
      <w:pPr>
        <w:pStyle w:val="Heading3"/>
      </w:pPr>
      <w:r>
        <w:t xml:space="preserve">2.4 Use Phase (Scope 3, Category 11)</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European Grid Electricity Emission Factor:</w:t>
      </w:r>
      <w:r>
        <w:t xml:space="preserve"> </w:t>
      </w:r>
      <w:r>
        <w:t xml:space="preserve">0.181 kg CO2e/kWh (PwC European Carbon Factor 2024)</w:t>
      </w:r>
    </w:p>
    <w:bookmarkEnd w:id="32"/>
    <w:bookmarkStart w:id="33" w:name="X3261202975bfccb1283f2bd5fabef2dfdbe9c90"/>
    <w:p>
      <w:pPr>
        <w:pStyle w:val="Heading3"/>
      </w:pPr>
      <w:r>
        <w:t xml:space="preserve">2.5 End-of-Life (EoL) Scenarios (Scope 3, Category 12)</w:t>
      </w:r>
    </w:p>
    <w:p>
      <w:pPr>
        <w:numPr>
          <w:ilvl w:val="0"/>
          <w:numId w:val="1005"/>
        </w:numPr>
        <w:pStyle w:val="Compact"/>
      </w:pPr>
      <w:r>
        <w:rPr>
          <w:bCs/>
          <w:b/>
        </w:rPr>
        <w:t xml:space="preserve">Total Product Mass:</w:t>
      </w:r>
      <w:r>
        <w:t xml:space="preserve"> </w:t>
      </w:r>
      <w:r>
        <w:t xml:space="preserve">0.9 kg</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Product take-back program active for end-of-life components</w:t>
      </w:r>
    </w:p>
    <w:p>
      <w:pPr>
        <w:numPr>
          <w:ilvl w:val="0"/>
          <w:numId w:val="1005"/>
        </w:numPr>
        <w:pStyle w:val="Compact"/>
      </w:pPr>
      <w:r>
        <w:rPr>
          <w:bCs/>
          <w:b/>
        </w:rPr>
        <w:t xml:space="preserve">Landfill Emission Factor (Mixed Waste/Plastic proxy):</w:t>
      </w:r>
      <w:r>
        <w:t xml:space="preserve"> </w:t>
      </w:r>
      <w:r>
        <w:t xml:space="preserve">0.75 kg CO2e/kg (derived from mixed recyclables landfilled and general plastics landfill factors)</w:t>
      </w:r>
    </w:p>
    <w:p>
      <w:pPr>
        <w:numPr>
          <w:ilvl w:val="0"/>
          <w:numId w:val="1005"/>
        </w:numPr>
        <w:pStyle w:val="Compact"/>
      </w:pPr>
      <w:r>
        <w:rPr>
          <w:bCs/>
          <w:b/>
        </w:rPr>
        <w:t xml:space="preserve">Recycling Emission Factor (Aluminum):</w:t>
      </w:r>
      <w:r>
        <w:t xml:space="preserve"> </w:t>
      </w:r>
      <w:r>
        <w:t xml:space="preserve">0.044 kg CO2e/kg (for recycled aluminum production)</w:t>
      </w:r>
    </w:p>
    <w:p>
      <w:pPr>
        <w:numPr>
          <w:ilvl w:val="0"/>
          <w:numId w:val="1005"/>
        </w:numPr>
        <w:pStyle w:val="Compact"/>
      </w:pPr>
      <w:r>
        <w:rPr>
          <w:bCs/>
          <w:b/>
        </w:rPr>
        <w:t xml:space="preserve">Recycling Emission Factor (Plastic/PET proxy):</w:t>
      </w:r>
      <w:r>
        <w:t xml:space="preserve"> </w:t>
      </w:r>
      <w:r>
        <w:t xml:space="preserve">0.70 kg CO2e/kg (average of PET recycling)</w:t>
      </w:r>
    </w:p>
    <w:p>
      <w:pPr>
        <w:numPr>
          <w:ilvl w:val="0"/>
          <w:numId w:val="1005"/>
        </w:numPr>
        <w:pStyle w:val="Compact"/>
      </w:pPr>
      <w:r>
        <w:rPr>
          <w:bCs/>
          <w:b/>
        </w:rPr>
        <w:t xml:space="preserve">Recycling Emission Factor (Other materials proxy):</w:t>
      </w:r>
      <w:r>
        <w:t xml:space="preserve"> </w:t>
      </w:r>
      <w:r>
        <w:t xml:space="preserve">0.20 kg CO2e/kg (illustrative average)</w:t>
      </w:r>
    </w:p>
    <w:p>
      <w:r>
        <w:pict>
          <v:rect style="width:0;height:1.5pt" o:hralign="center" o:hrstd="t" o:hr="t"/>
        </w:pict>
      </w:r>
    </w:p>
    <w:bookmarkEnd w:id="33"/>
    <w:bookmarkEnd w:id="34"/>
    <w:bookmarkStart w:id="42" w:name="X3720d7d0541b3a6e3c473bd4daa188ddb828856"/>
    <w:p>
      <w:pPr>
        <w:pStyle w:val="Heading2"/>
      </w:pPr>
      <w:r>
        <w:t xml:space="preserve">4. Calculating Emissions (Activity * Emission Factor = CO2e)</w:t>
      </w:r>
    </w:p>
    <w:bookmarkStart w:id="35" w:name="scope-1-emissions-direct-emissions"/>
    <w:p>
      <w:pPr>
        <w:pStyle w:val="Heading3"/>
      </w:pPr>
      <w:r>
        <w:t xml:space="preserve">4.1 Scope 1 Emissions (Direct Emissions)</w:t>
      </w:r>
    </w:p>
    <w:p>
      <w:pPr>
        <w:pStyle w:val="FirstParagraph"/>
      </w:pPr>
      <w:r>
        <w:t xml:space="preserve">For a Product Carbon Footprint, Scope 1 emissions (direct emissions from owned or controlled sources) are typically negligible or zero unless the company directly operates manufacturing processes that fall within the \'factory_gate\' boundary and involve direct fuel combustion or process emissions directly attributable to the product. In this analysis, no direct Scope 1 emissions at the factory are attributed to the product based on the provided parameters.</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w:t>
      </w:r>
    </w:p>
    <w:p>
      <w:pPr>
        <w:numPr>
          <w:ilvl w:val="0"/>
          <w:numId w:val="1006"/>
        </w:numPr>
        <w:pStyle w:val="Compact"/>
      </w:pPr>
      <w:r>
        <w:rPr>
          <w:bCs/>
          <w:b/>
        </w:rPr>
        <w:t xml:space="preserve">Total Energy Consumption:</w:t>
      </w:r>
      <w:r>
        <w:t xml:space="preserve"> </w:t>
      </w:r>
      <w:r>
        <w:t xml:space="preserve">15 kWh/unit</w:t>
      </w:r>
    </w:p>
    <w:p>
      <w:pPr>
        <w:numPr>
          <w:ilvl w:val="0"/>
          <w:numId w:val="1006"/>
        </w:numPr>
        <w:pStyle w:val="Compact"/>
      </w:pPr>
      <w:r>
        <w:rPr>
          <w:bCs/>
          <w:b/>
        </w:rPr>
        <w:t xml:space="preserve">Non-Renewable Electricity:</w:t>
      </w:r>
      <w:r>
        <w:t xml:space="preserve"> </w:t>
      </w:r>
      <w:r>
        <w:t xml:space="preserve">15 kWh/unit * (1 - 0.40 Renewable Energy Usage) = 9 kWh/unit</w:t>
      </w:r>
    </w:p>
    <w:p>
      <w:pPr>
        <w:numPr>
          <w:ilvl w:val="0"/>
          <w:numId w:val="1006"/>
        </w:numPr>
        <w:pStyle w:val="Compact"/>
      </w:pPr>
      <w:r>
        <w:rPr>
          <w:bCs/>
          <w:b/>
        </w:rPr>
        <w:t xml:space="preserve">Emissions:</w:t>
      </w:r>
      <w:r>
        <w:t xml:space="preserve"> </w:t>
      </w:r>
      <w:r>
        <w:t xml:space="preserve">9 kWh/unit * 0.58 kg CO2e/kWh (China Grid EF) =</w:t>
      </w:r>
      <w:r>
        <w:t xml:space="preserve"> </w:t>
      </w:r>
      <w:r>
        <w:rPr>
          <w:bCs/>
          <w:b/>
        </w:rPr>
        <w:t xml:space="preserve">5.22 kg CO2e/unit</w:t>
      </w:r>
    </w:p>
    <w:bookmarkEnd w:id="36"/>
    <w:bookmarkStart w:id="39" w:name="scope-3-emissions-value-chain-emissions"/>
    <w:p>
      <w:pPr>
        <w:pStyle w:val="Heading3"/>
      </w:pPr>
      <w:r>
        <w:t xml:space="preserve">4.3 Scope 3 Emissions (Value Chain Emissions)</w:t>
      </w:r>
    </w:p>
    <w:p>
      <w:pPr>
        <w:pStyle w:val="FirstParagraph"/>
      </w:pPr>
      <w:r>
        <w:t xml:space="preserve">Scope 3 emissions are typically the most significant for a product, covering both upstream and downstream activities.</w:t>
      </w:r>
    </w:p>
    <w:bookmarkStart w:id="37" w:name="upstream-emissions-categories-1-8"/>
    <w:p>
      <w:pPr>
        <w:pStyle w:val="Heading4"/>
      </w:pPr>
      <w:r>
        <w:t xml:space="preserve">4.3.1 Upstream Emissions (Categories 1-8)</w:t>
      </w:r>
    </w:p>
    <w:p>
      <w:pPr>
        <w:numPr>
          <w:ilvl w:val="0"/>
          <w:numId w:val="1007"/>
        </w:numPr>
        <w:pStyle w:val="Compact"/>
      </w:pPr>
      <w:r>
        <w:rPr>
          <w:bCs/>
          <w:b/>
        </w:rPr>
        <w:t xml:space="preserve">Category 1: Purchased Goods and Services (Material Acquisition &amp; Pre-processing)</w:t>
      </w:r>
    </w:p>
    <w:p>
      <w:pPr>
        <w:numPr>
          <w:ilvl w:val="1"/>
          <w:numId w:val="1008"/>
        </w:numPr>
        <w:pStyle w:val="Compact"/>
      </w:pPr>
      <w:r>
        <w:rPr>
          <w:bCs/>
          <w:b/>
        </w:rPr>
        <w:t xml:space="preserve">Total Emissions from Sample BOM:</w:t>
      </w:r>
      <w:r>
        <w:t xml:space="preserve"> </w:t>
      </w:r>
      <w:r>
        <w:t xml:space="preserve">4.75 kg CO2e/unit</w:t>
      </w:r>
    </w:p>
    <w:p>
      <w:pPr>
        <w:numPr>
          <w:ilvl w:val="0"/>
          <w:numId w:val="1007"/>
        </w:numPr>
        <w:pStyle w:val="Compact"/>
      </w:pPr>
      <w:r>
        <w:rPr>
          <w:bCs/>
          <w:b/>
        </w:rPr>
        <w:t xml:space="preserve">Category 4: Upstream Transportation and Distribution</w:t>
      </w:r>
    </w:p>
    <w:p>
      <w:pPr>
        <w:numPr>
          <w:ilvl w:val="1"/>
          <w:numId w:val="1009"/>
        </w:numPr>
        <w:pStyle w:val="Compact"/>
      </w:pPr>
      <w:r>
        <w:rPr>
          <w:bCs/>
          <w:b/>
        </w:rPr>
        <w:t xml:space="preserve">Assumed Mass for Transport:</w:t>
      </w:r>
      <w:r>
        <w:t xml:space="preserve"> </w:t>
      </w:r>
      <w:r>
        <w:t xml:space="preserve">0.0009 tonnes/unit</w:t>
      </w:r>
    </w:p>
    <w:p>
      <w:pPr>
        <w:numPr>
          <w:ilvl w:val="1"/>
          <w:numId w:val="1009"/>
        </w:numPr>
        <w:pStyle w:val="Compact"/>
      </w:pPr>
      <w:r>
        <w:rPr>
          <w:bCs/>
          <w:b/>
        </w:rPr>
        <w:t xml:space="preserve">Transport Distance:</w:t>
      </w:r>
      <w:r>
        <w:t xml:space="preserve"> </w:t>
      </w:r>
      <w:r>
        <w:t xml:space="preserve">500 km</w:t>
      </w:r>
    </w:p>
    <w:p>
      <w:pPr>
        <w:numPr>
          <w:ilvl w:val="1"/>
          <w:numId w:val="1009"/>
        </w:numPr>
        <w:pStyle w:val="Compact"/>
      </w:pPr>
      <w:r>
        <w:rPr>
          <w:bCs/>
          <w:b/>
        </w:rPr>
        <w:t xml:space="preserve">Emissions:</w:t>
      </w:r>
      <w:r>
        <w:t xml:space="preserve"> </w:t>
      </w:r>
      <w:r>
        <w:t xml:space="preserve">0.0009 tonnes/unit * 500 km * 0.15 kg CO2e/tonne-km =</w:t>
      </w:r>
      <w:r>
        <w:t xml:space="preserve"> </w:t>
      </w:r>
      <w:r>
        <w:rPr>
          <w:bCs/>
          <w:b/>
        </w:rPr>
        <w:t xml:space="preserve">0.0675 kg CO2e/unit</w:t>
      </w:r>
    </w:p>
    <w:bookmarkEnd w:id="37"/>
    <w:bookmarkStart w:id="38" w:name="downstream-emissions-categories-9-12"/>
    <w:p>
      <w:pPr>
        <w:pStyle w:val="Heading4"/>
      </w:pPr>
      <w:r>
        <w:t xml:space="preserve">4.3.2 Downstream Emissions (Categories 9-12)</w:t>
      </w:r>
    </w:p>
    <w:p>
      <w:pPr>
        <w:numPr>
          <w:ilvl w:val="0"/>
          <w:numId w:val="1010"/>
        </w:numPr>
        <w:pStyle w:val="Compact"/>
      </w:pPr>
      <w:r>
        <w:rPr>
          <w:bCs/>
          <w:b/>
        </w:rPr>
        <w:t xml:space="preserve">Category 11: Use of Sold Products</w:t>
      </w:r>
    </w:p>
    <w:p>
      <w:pPr>
        <w:numPr>
          <w:ilvl w:val="1"/>
          <w:numId w:val="1011"/>
        </w:numPr>
        <w:pStyle w:val="Compact"/>
      </w:pPr>
      <w:r>
        <w:rPr>
          <w:bCs/>
          <w:b/>
        </w:rPr>
        <w:t xml:space="preserve">Total Energy Consumption in Use:</w:t>
      </w:r>
      <w:r>
        <w:t xml:space="preserve"> </w:t>
      </w:r>
      <w:r>
        <w:t xml:space="preserve">10 kWh/year * 5 years (Product Lifespan) = 50 kWh/unit</w:t>
      </w:r>
    </w:p>
    <w:p>
      <w:pPr>
        <w:numPr>
          <w:ilvl w:val="1"/>
          <w:numId w:val="1011"/>
        </w:numPr>
        <w:pStyle w:val="Compact"/>
      </w:pPr>
      <w:r>
        <w:rPr>
          <w:bCs/>
          <w:b/>
        </w:rPr>
        <w:t xml:space="preserve">Emissions:</w:t>
      </w:r>
      <w:r>
        <w:t xml:space="preserve"> </w:t>
      </w:r>
      <w:r>
        <w:t xml:space="preserve">50 kWh/unit * 0.181 kg CO2e/kWh (European Grid EF) =</w:t>
      </w:r>
      <w:r>
        <w:t xml:space="preserve"> </w:t>
      </w:r>
      <w:r>
        <w:rPr>
          <w:bCs/>
          <w:b/>
        </w:rPr>
        <w:t xml:space="preserve">9.05 kg CO2e/unit</w:t>
      </w:r>
    </w:p>
    <w:p>
      <w:pPr>
        <w:numPr>
          <w:ilvl w:val="0"/>
          <w:numId w:val="1010"/>
        </w:numPr>
        <w:pStyle w:val="Compact"/>
      </w:pPr>
      <w:r>
        <w:rPr>
          <w:bCs/>
          <w:b/>
        </w:rPr>
        <w:t xml:space="preserve">Category 12: End-of-Life Treatment of Sold Products</w:t>
      </w:r>
    </w:p>
    <w:p>
      <w:pPr>
        <w:numPr>
          <w:ilvl w:val="1"/>
          <w:numId w:val="1012"/>
        </w:numPr>
        <w:pStyle w:val="Compact"/>
      </w:pPr>
      <w:r>
        <w:rPr>
          <w:bCs/>
          <w:b/>
        </w:rPr>
        <w:t xml:space="preserve">Total Product Mass:</w:t>
      </w:r>
      <w:r>
        <w:t xml:space="preserve"> </w:t>
      </w:r>
      <w:r>
        <w:t xml:space="preserve">0.9 kg/unit</w:t>
      </w:r>
    </w:p>
    <w:p>
      <w:pPr>
        <w:numPr>
          <w:ilvl w:val="1"/>
          <w:numId w:val="1012"/>
        </w:numPr>
        <w:pStyle w:val="Compact"/>
      </w:pPr>
      <w:r>
        <w:rPr>
          <w:bCs/>
          <w:b/>
        </w:rPr>
        <w:t xml:space="preserve">Mass to be Recycled:</w:t>
      </w:r>
      <w:r>
        <w:t xml:space="preserve"> </w:t>
      </w:r>
      <w:r>
        <w:t xml:space="preserve">0.9 kg * 0.70 (Recyclability Percentage) = 0.63 kg/unit</w:t>
      </w:r>
    </w:p>
    <w:p>
      <w:pPr>
        <w:numPr>
          <w:ilvl w:val="1"/>
          <w:numId w:val="1012"/>
        </w:numPr>
        <w:pStyle w:val="Compact"/>
      </w:pPr>
      <w:r>
        <w:rPr>
          <w:bCs/>
          <w:b/>
        </w:rPr>
        <w:t xml:space="preserve">Mass to Landfill:</w:t>
      </w:r>
      <w:r>
        <w:t xml:space="preserve"> </w:t>
      </w:r>
      <w:r>
        <w:t xml:space="preserve">0.9 kg * (1 - 0.70) = 0.27 kg/unit</w:t>
      </w:r>
    </w:p>
    <w:p>
      <w:pPr>
        <w:numPr>
          <w:ilvl w:val="1"/>
          <w:numId w:val="1012"/>
        </w:numPr>
        <w:pStyle w:val="Compact"/>
      </w:pPr>
      <w:r>
        <w:rPr>
          <w:bCs/>
          <w:b/>
        </w:rPr>
        <w:t xml:space="preserve">Emissions from Recycling Burden (Simplified Average):</w:t>
      </w:r>
    </w:p>
    <w:p>
      <w:pPr>
        <w:numPr>
          <w:ilvl w:val="2"/>
          <w:numId w:val="1013"/>
        </w:numPr>
        <w:pStyle w:val="Compact"/>
      </w:pPr>
      <w:r>
        <w:t xml:space="preserve">Aluminum: 0.5 kg (from BOM) * 0.7 (recycled) * 0.044 kgCO2e/kg = 0.0154 kgCO2e</w:t>
      </w:r>
    </w:p>
    <w:p>
      <w:pPr>
        <w:numPr>
          <w:ilvl w:val="2"/>
          <w:numId w:val="1013"/>
        </w:numPr>
        <w:pStyle w:val="Compact"/>
      </w:pPr>
      <w:r>
        <w:t xml:space="preserve">Plastic: 0.2 kg (from BOM) * 0.7 (recycled) * 0.70 kgCO2e/kg = 0.098 kgCO2e</w:t>
      </w:r>
    </w:p>
    <w:p>
      <w:pPr>
        <w:numPr>
          <w:ilvl w:val="2"/>
          <w:numId w:val="1013"/>
        </w:numPr>
        <w:pStyle w:val="Compact"/>
      </w:pPr>
      <w:r>
        <w:t xml:space="preserve">Other Materials: 0.2 kg (from BOM) * 0.7 (recycled) * 0.20 kgCO2e/kg = 0.028 kgCO2e</w:t>
      </w:r>
    </w:p>
    <w:p>
      <w:pPr>
        <w:numPr>
          <w:ilvl w:val="2"/>
          <w:numId w:val="1013"/>
        </w:numPr>
        <w:pStyle w:val="Compact"/>
      </w:pPr>
      <w:r>
        <w:rPr>
          <w:bCs/>
          <w:b/>
        </w:rPr>
        <w:t xml:space="preserve">Subtotal Recycling Burden:</w:t>
      </w:r>
      <w:r>
        <w:t xml:space="preserve"> </w:t>
      </w:r>
      <w:r>
        <w:t xml:space="preserve">0.1414 kg CO2e/unit</w:t>
      </w:r>
    </w:p>
    <w:p>
      <w:pPr>
        <w:numPr>
          <w:ilvl w:val="1"/>
          <w:numId w:val="1012"/>
        </w:numPr>
        <w:pStyle w:val="Compact"/>
      </w:pPr>
      <w:r>
        <w:rPr>
          <w:bCs/>
          <w:b/>
        </w:rPr>
        <w:t xml:space="preserve">Emissions from Landfill:</w:t>
      </w:r>
      <w:r>
        <w:t xml:space="preserve"> </w:t>
      </w:r>
      <w:r>
        <w:t xml:space="preserve">0.27 kg/unit * 0.75 kg CO2e/kg = 0.2025 kg CO2e/unit</w:t>
      </w:r>
    </w:p>
    <w:p>
      <w:pPr>
        <w:numPr>
          <w:ilvl w:val="1"/>
          <w:numId w:val="1012"/>
        </w:numPr>
        <w:pStyle w:val="Compact"/>
      </w:pPr>
      <w:r>
        <w:rPr>
          <w:bCs/>
          <w:b/>
        </w:rPr>
        <w:t xml:space="preserve">Total EoL Emissions:</w:t>
      </w:r>
      <w:r>
        <w:t xml:space="preserve"> </w:t>
      </w:r>
      <w:r>
        <w:t xml:space="preserve">0.1414 + 0.2025 =</w:t>
      </w:r>
      <w:r>
        <w:t xml:space="preserve"> </w:t>
      </w:r>
      <w:r>
        <w:rPr>
          <w:bCs/>
          <w:b/>
        </w:rPr>
        <w:t xml:space="preserve">0.3439 kg CO2e/unit</w:t>
      </w:r>
    </w:p>
    <w:bookmarkEnd w:id="38"/>
    <w:bookmarkEnd w:id="39"/>
    <w:bookmarkStart w:id="40" w:name="X7ef73fe3d39a8d84fae696b42f814aa0d860ec0"/>
    <w:p>
      <w:pPr>
        <w:pStyle w:val="Heading3"/>
      </w:pPr>
      <w:r>
        <w:t xml:space="preserve">4.4 2026 LSR Update (Land Sector and Removals Standard)</w:t>
      </w:r>
    </w:p>
    <w:p>
      <w:pPr>
        <w:pStyle w:val="FirstParagraph"/>
      </w:pPr>
      <w:r>
        <w:t xml:space="preserve">The GHG Protocol Land Sector and Removals (LSR) Standard (2026 update) emphasizes accounting for land use and carbon removals. While this is primarily relevant for organizational-level reporting involving land management, for product-level analysis, its direct application is typically seen in bio-based products or those with significant land-use change impacts in their supply chain. Given the nature of iqlwppgguo (an assumed manufactured product), specific land-use change or carbon removal data directly attributable to the functional unit were not provided. However, the importance of this standard is acknowledged, and for products with relevant characteristics, future analyses would incorporate specific data on biogenic carbon, deforestation, and carbon sequestration activities where applicable.</w:t>
      </w:r>
    </w:p>
    <w:bookmarkEnd w:id="40"/>
    <w:bookmarkStart w:id="41" w:name="scope-3-compliance-95-coverage"/>
    <w:p>
      <w:pPr>
        <w:pStyle w:val="Heading3"/>
      </w:pPr>
      <w:r>
        <w:t xml:space="preserve">4.5 Scope 3 Compliance (95% Coverage)</w:t>
      </w:r>
    </w:p>
    <w:p>
      <w:pPr>
        <w:pStyle w:val="FirstParagraph"/>
      </w:pPr>
      <w:r>
        <w:t xml:space="preserve">This analysis strives for comprehensive Scope 3 reporting, targeting at least 95% coverage as per 2026 requirements. By incorporating detailed material data (from the sample BOM), transportation, manufacturing energy, use phase, and end-of-life scenarios, a significant portion of the value chain emissions is captured. The use of proxy data and industry averages for certain emission factors helps to ensure a broad coverage, even when primary data for every minor component or process is not available.</w:t>
      </w:r>
    </w:p>
    <w:p>
      <w:r>
        <w:pict>
          <v:rect style="width:0;height:1.5pt" o:hralign="center" o:hrstd="t" o:hr="t"/>
        </w:pict>
      </w:r>
    </w:p>
    <w:bookmarkEnd w:id="41"/>
    <w:bookmarkEnd w:id="42"/>
    <w:bookmarkStart w:id="48" w:name="review-report"/>
    <w:p>
      <w:pPr>
        <w:pStyle w:val="Heading2"/>
      </w:pPr>
      <w:r>
        <w:t xml:space="preserve">5. Review &amp; Report</w:t>
      </w:r>
    </w:p>
    <w:bookmarkStart w:id="45" w:name="product-carbon-footprint-summary"/>
    <w:p>
      <w:pPr>
        <w:pStyle w:val="Heading3"/>
      </w:pPr>
      <w:r>
        <w:t xml:space="preserve">5.1 Product Carbon Footprint Summary</w:t>
      </w:r>
    </w:p>
    <w:bookmarkStart w:id="43" w:name="pcf-at-factory-gate-cradle-to-gate"/>
    <w:p>
      <w:pPr>
        <w:pStyle w:val="Heading4"/>
      </w:pPr>
      <w:r>
        <w:t xml:space="preserve">PCF at Factory Gate (Cradle-to-Gate)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4.75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5.22</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0.0675</w:t>
            </w:r>
          </w:p>
        </w:tc>
      </w:tr>
      <w:tr>
        <w:tc>
          <w:tcPr>
            <w:gridSpan w:val="2"/>
          </w:tcPr>
          <w:p>
            <w:pPr>
              <w:pStyle w:val="Compact"/>
              <w:jc w:val="left"/>
            </w:pPr>
            <w:r>
              <w:rPr>
                <w:bCs/>
                <w:b/>
              </w:rPr>
              <w:t xml:space="preserve">Total PCF (Factory Gate):</w:t>
            </w:r>
          </w:p>
        </w:tc>
        <w:tc>
          <w:tcPr/>
          <w:p>
            <w:pPr>
              <w:pStyle w:val="Compact"/>
              <w:jc w:val="left"/>
            </w:pPr>
            <w:r>
              <w:rPr>
                <w:bCs/>
                <w:b/>
              </w:rPr>
              <w:t xml:space="preserve">10.0375</w:t>
            </w:r>
          </w:p>
        </w:tc>
      </w:tr>
    </w:tbl>
    <w:bookmarkEnd w:id="43"/>
    <w:bookmarkStart w:id="44" w:name="extended-pcf-cradle-to-grave"/>
    <w:p>
      <w:pPr>
        <w:pStyle w:val="Heading4"/>
      </w:pPr>
      <w:r>
        <w:t xml:space="preserve">Extended PCF (Cradle-to-Grave)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4.75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5.22</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0.0675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0.3439</w:t>
            </w:r>
          </w:p>
        </w:tc>
      </w:tr>
      <w:tr>
        <w:tc>
          <w:tcPr>
            <w:gridSpan w:val="2"/>
          </w:tcPr>
          <w:p>
            <w:pPr>
              <w:pStyle w:val="Compact"/>
              <w:jc w:val="left"/>
            </w:pPr>
            <w:r>
              <w:rPr>
                <w:bCs/>
                <w:b/>
              </w:rPr>
              <w:t xml:space="preserve">Total PCF (Cradle-to-Grave):</w:t>
            </w:r>
          </w:p>
        </w:tc>
        <w:tc>
          <w:tcPr/>
          <w:p>
            <w:pPr>
              <w:pStyle w:val="Compact"/>
              <w:jc w:val="left"/>
            </w:pPr>
            <w:r>
              <w:rPr>
                <w:bCs/>
                <w:b/>
              </w:rPr>
              <w:t xml:space="preserve">19.4314</w:t>
            </w:r>
          </w:p>
        </w:tc>
      </w:tr>
    </w:tbl>
    <w:bookmarkEnd w:id="44"/>
    <w:bookmarkEnd w:id="45"/>
    <w:bookmarkStart w:id="46" w:name="emission-hotspots-and-reliability"/>
    <w:p>
      <w:pPr>
        <w:pStyle w:val="Heading3"/>
      </w:pPr>
      <w:r>
        <w:t xml:space="preserve">5.2 Emission Hotspots and Reliability</w:t>
      </w:r>
    </w:p>
    <w:p>
      <w:pPr>
        <w:pStyle w:val="FirstParagraph"/>
      </w:pPr>
      <w:r>
        <w:t xml:space="preserve">The primary emission hotspots for iqlwppgguo are identified in:</w:t>
      </w:r>
    </w:p>
    <w:p>
      <w:pPr>
        <w:numPr>
          <w:ilvl w:val="0"/>
          <w:numId w:val="1014"/>
        </w:numPr>
        <w:pStyle w:val="Compact"/>
      </w:pPr>
      <w:r>
        <w:rPr>
          <w:bCs/>
          <w:b/>
        </w:rPr>
        <w:t xml:space="preserve">Manufacturing Energy (Scope 2):</w:t>
      </w:r>
      <w:r>
        <w:t xml:space="preserve"> </w:t>
      </w:r>
      <w:r>
        <w:t xml:space="preserve">Despite 40% renewable energy usage, the remaining grid electricity in China significantly contributes to the footprint, highlighting the carbon intensity of the regional grid mix.</w:t>
      </w:r>
    </w:p>
    <w:p>
      <w:pPr>
        <w:numPr>
          <w:ilvl w:val="0"/>
          <w:numId w:val="1014"/>
        </w:numPr>
        <w:pStyle w:val="Compact"/>
      </w:pPr>
      <w:r>
        <w:rPr>
          <w:bCs/>
          <w:b/>
        </w:rPr>
        <w:t xml:space="preserve">Material Acquisition (Scope 3, Category 1):</w:t>
      </w:r>
      <w:r>
        <w:t xml:space="preserve"> </w:t>
      </w:r>
      <w:r>
        <w:t xml:space="preserve">Specifically, the aluminum casing, due to its relatively high quantity and high emission factor from primary production, is a major contributor.</w:t>
      </w:r>
    </w:p>
    <w:p>
      <w:pPr>
        <w:numPr>
          <w:ilvl w:val="0"/>
          <w:numId w:val="1014"/>
        </w:numPr>
        <w:pStyle w:val="Compact"/>
      </w:pPr>
      <w:r>
        <w:rPr>
          <w:bCs/>
          <w:b/>
        </w:rPr>
        <w:t xml:space="preserve">Use Phase (Scope 3, Category 11):</w:t>
      </w:r>
      <w:r>
        <w:t xml:space="preserve"> </w:t>
      </w:r>
      <w:r>
        <w:t xml:space="preserve">The energy consumption during the product\'s 5-year lifespan is a substantial contributor, emphasizing the importance of energy efficiency in product design.</w:t>
      </w:r>
    </w:p>
    <w:p>
      <w:pPr>
        <w:pStyle w:val="FirstParagraph"/>
      </w:pPr>
      <w:r>
        <w:t xml:space="preserve">The reliability of this report\'s findings is dependent on the accuracy and completeness of the provided input parameters and the emission factors utilized. While efforts were made to use recognized industry-standard (e.g., DEFRA, IEA, Ecoinvent proxies) and recent emission factors, actual emissions may vary with specific supplier data, precise energy mixes, and granular material compositions. The placeholder inputs for BOM and other operational data necessitated the use of illustrative examples and reasonable assumptions, which have been clearly stated.</w:t>
      </w:r>
    </w:p>
    <w:bookmarkEnd w:id="46"/>
    <w:bookmarkStart w:id="47" w:name="recommendations"/>
    <w:p>
      <w:pPr>
        <w:pStyle w:val="Heading3"/>
      </w:pPr>
      <w:r>
        <w:t xml:space="preserve">5.3 Recommendations</w:t>
      </w:r>
    </w:p>
    <w:p>
      <w:pPr>
        <w:pStyle w:val="FirstParagraph"/>
      </w:pPr>
      <w:r>
        <w:t xml:space="preserve">Based on this analysis, the following recommendations are provided for lduydllqji to reduce the carbon footprint of iqlwppgguo:</w:t>
      </w:r>
    </w:p>
    <w:p>
      <w:pPr>
        <w:numPr>
          <w:ilvl w:val="0"/>
          <w:numId w:val="1015"/>
        </w:numPr>
        <w:pStyle w:val="Compact"/>
      </w:pPr>
      <w:r>
        <w:rPr>
          <w:bCs/>
          <w:b/>
        </w:rPr>
        <w:t xml:space="preserve">Material Optimization:</w:t>
      </w:r>
      <w:r>
        <w:t xml:space="preserve"> </w:t>
      </w:r>
      <w:r>
        <w:t xml:space="preserve">Investigate opportunities to use lower-carbon alternatives for the aluminum casing (e.g., secondary/recycled aluminum, lightweighting) or materials with inherently lower embodied carbon.</w:t>
      </w:r>
    </w:p>
    <w:p>
      <w:pPr>
        <w:numPr>
          <w:ilvl w:val="0"/>
          <w:numId w:val="1015"/>
        </w:numPr>
        <w:pStyle w:val="Compact"/>
      </w:pPr>
      <w:r>
        <w:rPr>
          <w:bCs/>
          <w:b/>
        </w:rPr>
        <w:t xml:space="preserve">Manufacturing Energy Decarbonization:</w:t>
      </w:r>
      <w:r>
        <w:t xml:space="preserve"> </w:t>
      </w:r>
      <w:r>
        <w:t xml:space="preserve">Increase the percentage of renewable energy usage at the production facility in China. Explore direct renewable energy procurement or investments in local renewable projects.</w:t>
      </w:r>
    </w:p>
    <w:p>
      <w:pPr>
        <w:numPr>
          <w:ilvl w:val="0"/>
          <w:numId w:val="1015"/>
        </w:numPr>
        <w:pStyle w:val="Compact"/>
      </w:pPr>
      <w:r>
        <w:rPr>
          <w:bCs/>
          <w:b/>
        </w:rPr>
        <w:t xml:space="preserve">Product Energy Efficiency:</w:t>
      </w:r>
      <w:r>
        <w:t xml:space="preserve"> </w:t>
      </w:r>
      <w:r>
        <w:t xml:space="preserve">Focus design efforts on reducing the product\'s energy consumption during its use phase, as this is a significant hotspot over its lifespan.</w:t>
      </w:r>
    </w:p>
    <w:p>
      <w:pPr>
        <w:numPr>
          <w:ilvl w:val="0"/>
          <w:numId w:val="1015"/>
        </w:numPr>
        <w:pStyle w:val="Compact"/>
      </w:pPr>
      <w:r>
        <w:rPr>
          <w:bCs/>
          <w:b/>
        </w:rPr>
        <w:t xml:space="preserve">Supply Chain Engagement:</w:t>
      </w:r>
      <w:r>
        <w:t xml:space="preserve"> </w:t>
      </w:r>
      <w:r>
        <w:t xml:space="preserve">Work with material suppliers to obtain primary emission data for purchased components and raw materials, improving the accuracy of Scope 3, Category 1 reporting.</w:t>
      </w:r>
    </w:p>
    <w:p>
      <w:pPr>
        <w:numPr>
          <w:ilvl w:val="0"/>
          <w:numId w:val="1015"/>
        </w:numPr>
        <w:pStyle w:val="Compact"/>
      </w:pPr>
      <w:r>
        <w:rPr>
          <w:bCs/>
          <w:b/>
        </w:rPr>
        <w:t xml:space="preserve">Logistics Efficiency:</w:t>
      </w:r>
      <w:r>
        <w:t xml:space="preserve"> </w:t>
      </w:r>
      <w:r>
        <w:t xml:space="preserve">Optimize transport routes, modes, and load factors for both upstream and downstream logistics to minimize transportation emissions.</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iqlwppgguo</dc:title>
  <dc:creator/>
  <dc:description>Detailed Product Carbon Footprint (PCF) analysis report for iqlwppgguo, following GHG Protocol standards and 2026 LSR update requirements, prepared by yfpjgkhyvp for lduydllqji.</dc:description>
  <dc:language>en</dc:language>
  <cp:keywords/>
  <dcterms:created xsi:type="dcterms:W3CDTF">2026-05-30T22:03:56Z</dcterms:created>
  <dcterms:modified xsi:type="dcterms:W3CDTF">2026-05-30T22:03:56Z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