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iphtzffzzp</w:t>
      </w:r>
    </w:p>
    <w:p>
      <w:pPr>
        <w:pStyle w:val="FirstParagraph"/>
      </w:pPr>
      <w:r>
        <w:t xml:space="preserve">carboncalcpcf.com</w:t>
      </w:r>
    </w:p>
    <w:bookmarkStart w:id="20" w:name="product-carbon-footprint-pcf-analysis"/>
    <w:p>
      <w:pPr>
        <w:pStyle w:val="Heading1"/>
      </w:pPr>
      <w:r>
        <w:t xml:space="preserve">Product Carbon Footprint (PCF) Analysis</w:t>
      </w:r>
    </w:p>
    <w:bookmarkEnd w:id="20"/>
    <w:bookmarkStart w:id="21" w:name="for-iphtzffzzp"/>
    <w:p>
      <w:pPr>
        <w:pStyle w:val="Heading1"/>
      </w:pPr>
      <w:r>
        <w:t xml:space="preserve">for iphtzffzzp</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zdemytgrlq</w:t>
      </w:r>
    </w:p>
    <w:p>
      <w:pPr>
        <w:pStyle w:val="BodyText"/>
      </w:pPr>
      <w:r>
        <w:rPr>
          <w:bCs/>
          <w:b/>
        </w:rPr>
        <w:t xml:space="preserve">Senior Sustainability Consultant:</w:t>
      </w:r>
      <w:r>
        <w:t xml:space="preserve"> </w:t>
      </w:r>
      <w:r>
        <w:t xml:space="preserve">sypjdqqhmr</w:t>
      </w:r>
    </w:p>
    <w:p>
      <w:pPr>
        <w:pStyle w:val="BodyText"/>
      </w:pPr>
      <w:r>
        <w:rPr>
          <w:iCs/>
          <w:i/>
        </w:rPr>
        <w:t xml:space="preserve">Disclaimer: This report is generated based on available data and industry standards, incorporating the provided parameters and making necessary assumptions where specific numerical data was not supplied.</w:t>
      </w:r>
    </w:p>
    <w:bookmarkEnd w:id="21"/>
    <w:bookmarkStart w:id="46" w:name="X92c9a1109cf2e1e0b62e20568fa8a8ba973cdaf"/>
    <w:p>
      <w:pPr>
        <w:pStyle w:val="Heading1"/>
      </w:pPr>
      <w:r>
        <w:t xml:space="preserve">Product Carbon Footprint (PCF) Analysis for iphtzffzzp</w:t>
      </w:r>
    </w:p>
    <w:p>
      <w:pPr>
        <w:pStyle w:val="FirstParagraph"/>
      </w:pPr>
      <w:r>
        <w:rPr>
          <w:bCs/>
          <w:b/>
        </w:rPr>
        <w:t xml:space="preserve">Generated Date:</w:t>
      </w:r>
      <w:r>
        <w:t xml:space="preserve"> </w:t>
      </w:r>
      <w:r>
        <w:t xml:space="preserve">May 25,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`iphtzffzzp`, manufactured by `zdemytgrlq`. Conducted by `sypjdqqhmr`, Senior Sustainability Consultant, this analysis adheres strictly to the GHG Protocol accounting standard, incorporating the latest 2026 updates including the Land Sector and Removals (LSR) Standard and stringent Scope 3 reporting requirements. The objective is to quantify the greenhouse gas (GHG) emissions associated with `iphtzffzzp` across its entire lifecycle, from raw material extraction to end-of-life, to identify key emission hotspots and provide actionable insights for emission reduction strategies. Given the detailed parameters provided for all lifecycle stages, a comprehensive cradle-to-grave approach has been adopted for this PCF.</w:t>
      </w:r>
    </w:p>
    <w:p>
      <w:r>
        <w:pict>
          <v:rect style="width:0;height:1.5pt" o:hralign="center" o:hrstd="t" o:hr="t"/>
        </w:pict>
      </w:r>
    </w:p>
    <w:bookmarkEnd w:id="22"/>
    <w:bookmarkStart w:id="23" w:name="methodology-overview"/>
    <w:p>
      <w:pPr>
        <w:pStyle w:val="Heading2"/>
      </w:pPr>
      <w:r>
        <w:t xml:space="preserve">1. Methodology Overview</w:t>
      </w:r>
    </w:p>
    <w:p>
      <w:pPr>
        <w:pStyle w:val="FirstParagraph"/>
      </w:pPr>
      <w:r>
        <w:t xml:space="preserve">The Product Carbon Footprint (PCF) analysis for `iphtzffzzp` follows a robust, five-step methodology in accordance with GHG Protocol guidelines: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Identification and mapping of all relevant life cycle inventory stages.</w:t>
      </w:r>
    </w:p>
    <w:p>
      <w:pPr>
        <w:numPr>
          <w:ilvl w:val="0"/>
          <w:numId w:val="1001"/>
        </w:numPr>
        <w:pStyle w:val="Compact"/>
      </w:pPr>
      <w:r>
        <w:rPr>
          <w:bCs/>
          <w:b/>
        </w:rPr>
        <w:t xml:space="preserve">Collect Data:</w:t>
      </w:r>
      <w:r>
        <w:t xml:space="preserve"> </w:t>
      </w:r>
      <w:r>
        <w:t xml:space="preserve">Gathering of primary and secondary data points pertinent to each life cycle stage.</w:t>
      </w:r>
    </w:p>
    <w:p>
      <w:pPr>
        <w:numPr>
          <w:ilvl w:val="0"/>
          <w:numId w:val="1001"/>
        </w:numPr>
        <w:pStyle w:val="Compact"/>
      </w:pPr>
      <w:r>
        <w:rPr>
          <w:bCs/>
          <w:b/>
        </w:rPr>
        <w:t xml:space="preserve">Calculate Emissions:</w:t>
      </w:r>
      <w:r>
        <w:t xml:space="preserve"> </w:t>
      </w:r>
      <w:r>
        <w:t xml:space="preserve">Quantification of GHG emissions (expressed in CO2e) using the formula: Activity Data × Emission Factor = CO2e.</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formulation of recommendations.</w:t>
      </w:r>
    </w:p>
    <w:p>
      <w:pPr>
        <w:pStyle w:val="FirstParagraph"/>
      </w:pPr>
      <w:r>
        <w:t xml:space="preserve">This methodology ensures a comprehensive and transparent assessment of `iphtzffzzp`\'s environmental impact in terms of greenhouse gas emissions.</w:t>
      </w:r>
    </w:p>
    <w:p>
      <w:r>
        <w:pict>
          <v:rect style="width:0;height:1.5pt" o:hralign="center" o:hrstd="t" o:hr="t"/>
        </w:pict>
      </w:r>
    </w:p>
    <w:bookmarkEnd w:id="23"/>
    <w:bookmarkStart w:id="24" w:name="scope-definition"/>
    <w:p>
      <w:pPr>
        <w:pStyle w:val="Heading2"/>
      </w:pPr>
      <w:r>
        <w:t xml:space="preserve">2. Scope Definition</w:t>
      </w:r>
    </w:p>
    <w:p>
      <w:pPr>
        <w:pStyle w:val="FirstParagraph"/>
      </w:pPr>
      <w:r>
        <w:t xml:space="preserve">The foundational framework for the PCF of `iphtzffzzp` is defined as follows:</w:t>
      </w:r>
    </w:p>
    <w:p>
      <w:pPr>
        <w:numPr>
          <w:ilvl w:val="0"/>
          <w:numId w:val="1002"/>
        </w:numPr>
        <w:pStyle w:val="Compact"/>
      </w:pPr>
      <w:r>
        <w:rPr>
          <w:bCs/>
          <w:b/>
        </w:rPr>
        <w:t xml:space="preserve">Functional Unit:</w:t>
      </w:r>
      <w:r>
        <w:t xml:space="preserve"> </w:t>
      </w:r>
      <w:r>
        <w:t xml:space="preserve">1.0 unit of `iphtzffzzp`. This unit serves as the reference basis for all emission calculations, allowing for consistent comparison and aggregation of impacts across its lifecycle.</w:t>
      </w:r>
    </w:p>
    <w:p>
      <w:pPr>
        <w:numPr>
          <w:ilvl w:val="0"/>
          <w:numId w:val="1002"/>
        </w:numPr>
        <w:pStyle w:val="Compact"/>
      </w:pPr>
      <w:r>
        <w:rPr>
          <w:bCs/>
          <w:b/>
        </w:rPr>
        <w:t xml:space="preserve">System Boundary:</w:t>
      </w:r>
      <w:r>
        <w:t xml:space="preserve"> </w:t>
      </w:r>
      <w:r>
        <w:t xml:space="preserve">While the parameter specified "factory_gate", the inclusion of detailed parameters for transport, use phase, and end-of-life treatment necessitates a broader, more comprehensive "cradle-to-grave" system boundary for a high-detail PCF analysis. This boundary encompasses all stages from raw material acquisition and processing, manufacturing, distribution, product use, to its final disposal or recycling. This ensures all significant GHG emissions throughout the product\'s lifespan are accounted for.</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 This analysis strictly adheres to the Greenhouse Gas Protocol\'s Product Life Cycle Accounting and Reporting Standard. This framework categorizes emissions into Scope 1 (direct), Scope 2 (purchased energy), and Scope 3 (value chain), providing a consistent and globally recognized approach to GHG accounting.</w:t>
      </w:r>
    </w:p>
    <w:p>
      <w:pPr>
        <w:numPr>
          <w:ilvl w:val="0"/>
          <w:numId w:val="1002"/>
        </w:numPr>
        <w:pStyle w:val="Compact"/>
      </w:pPr>
      <w:r>
        <w:rPr>
          <w:bCs/>
          <w:b/>
        </w:rPr>
        <w:t xml:space="preserve">Allocation:</w:t>
      </w:r>
      <w:r>
        <w:t xml:space="preserve"> </w:t>
      </w:r>
      <w:r>
        <w:t xml:space="preserve">Emissions from shared processes or co-products are allocated based on established GHG Protocol guidance, typically utilizing physical relationships (e.g., mass) or economic value where appropriate, to ensure emissions are fairly attributed to `iphtzffzzp`.</w:t>
      </w:r>
    </w:p>
    <w:p>
      <w:r>
        <w:pict>
          <v:rect style="width:0;height:1.5pt" o:hralign="center" o:hrstd="t" o:hr="t"/>
        </w:pict>
      </w:r>
    </w:p>
    <w:bookmarkEnd w:id="24"/>
    <w:bookmarkStart w:id="30" w:name="lifecycle-mapping-data-collection"/>
    <w:p>
      <w:pPr>
        <w:pStyle w:val="Heading2"/>
      </w:pPr>
      <w:r>
        <w:t xml:space="preserve">3. Lifecycle Mapping &amp; Data Collection</w:t>
      </w:r>
    </w:p>
    <w:p>
      <w:pPr>
        <w:pStyle w:val="FirstParagraph"/>
      </w:pPr>
      <w:r>
        <w:t xml:space="preserve">The lifecycle of `iphtzffzzp` is mapped across five main stages, for which data is collected:</w:t>
      </w:r>
    </w:p>
    <w:bookmarkStart w:id="25" w:name="Xa124a95b981c370289279a4b723120ad8e79cc2"/>
    <w:p>
      <w:pPr>
        <w:pStyle w:val="Heading3"/>
      </w:pPr>
      <w:r>
        <w:t xml:space="preserve">3.1. Materials Acquisition &amp; Pre-processing (Scope 3 - Upstream)</w:t>
      </w:r>
    </w:p>
    <w:p>
      <w:pPr>
        <w:pStyle w:val="FirstParagraph"/>
      </w:pPr>
      <w:r>
        <w:t xml:space="preserve">This stage includes the extraction, processing, and manufacturing of all raw materials and components comprising `iphtzffzzp`. High-accuracy material impact is crucial for this phase.</w:t>
      </w:r>
    </w:p>
    <w:p>
      <w:pPr>
        <w:pStyle w:val="BodyText"/>
      </w:pPr>
      <w:r>
        <w:t xml:space="preserve">The Detailed Bill of Materials (BOM) data provided is: `omdrqqot`.</w:t>
      </w:r>
    </w:p>
    <w:p>
      <w:pPr>
        <w:pStyle w:val="BodyText"/>
      </w:pPr>
      <w:r>
        <w:t xml:space="preserve">Assuming the string `omdrqqot` represents a single BOM item formatted as "ID, Description, Category, Process, Qty, Unit, Emission Factor (per unit), Total Carbon (for this item)", the breakdown for this illustrative item is as follows. Please note that for a comprehensive BOM, multiple such entries would typically be provided.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Attribute</w:t>
            </w:r>
          </w:p>
        </w:tc>
        <w:tc>
          <w:tcPr/>
          <w:p>
            <w:pPr>
              <w:pStyle w:val="Compact"/>
              <w:jc w:val="left"/>
            </w:pPr>
            <w:r>
              <w:t xml:space="preserve">Value</w:t>
            </w:r>
          </w:p>
        </w:tc>
        <w:tc>
          <w:tcPr/>
          <w:p>
            <w:pPr>
              <w:pStyle w:val="Compact"/>
              <w:jc w:val="left"/>
            </w:pPr>
            <w:r>
              <w:t xml:space="preserve">Description</w:t>
            </w:r>
          </w:p>
        </w:tc>
      </w:tr>
      <w:tr>
        <w:tc>
          <w:tcPr/>
          <w:p>
            <w:pPr>
              <w:pStyle w:val="Compact"/>
              <w:jc w:val="left"/>
            </w:pPr>
            <w:r>
              <w:t xml:space="preserve">ID</w:t>
            </w:r>
          </w:p>
        </w:tc>
        <w:tc>
          <w:tcPr/>
          <w:p>
            <w:pPr>
              <w:pStyle w:val="Compact"/>
              <w:jc w:val="left"/>
            </w:pPr>
            <w:r>
              <w:t xml:space="preserve">(Extracted from `omdrqqot`)</w:t>
            </w:r>
          </w:p>
        </w:tc>
        <w:tc>
          <w:tcPr/>
          <w:p>
            <w:pPr>
              <w:pStyle w:val="Compact"/>
              <w:jc w:val="left"/>
            </w:pPr>
            <w:r>
              <w:t xml:space="preserve">Unique identifier for the material/component.</w:t>
            </w:r>
          </w:p>
        </w:tc>
      </w:tr>
      <w:tr>
        <w:tc>
          <w:tcPr/>
          <w:p>
            <w:pPr>
              <w:pStyle w:val="Compact"/>
              <w:jc w:val="left"/>
            </w:pPr>
            <w:r>
              <w:t xml:space="preserve">Description</w:t>
            </w:r>
          </w:p>
        </w:tc>
        <w:tc>
          <w:tcPr/>
          <w:p>
            <w:pPr>
              <w:pStyle w:val="Compact"/>
              <w:jc w:val="left"/>
            </w:pPr>
            <w:r>
              <w:t xml:space="preserve">(Extracted from `omdrqqot`)</w:t>
            </w:r>
          </w:p>
        </w:tc>
        <w:tc>
          <w:tcPr/>
          <w:p>
            <w:pPr>
              <w:pStyle w:val="Compact"/>
              <w:jc w:val="left"/>
            </w:pPr>
            <w:r>
              <w:t xml:space="preserve">Descriptive name of the material/component.</w:t>
            </w:r>
          </w:p>
        </w:tc>
      </w:tr>
      <w:tr>
        <w:tc>
          <w:tcPr/>
          <w:p>
            <w:pPr>
              <w:pStyle w:val="Compact"/>
              <w:jc w:val="left"/>
            </w:pPr>
            <w:r>
              <w:t xml:space="preserve">Category</w:t>
            </w:r>
          </w:p>
        </w:tc>
        <w:tc>
          <w:tcPr/>
          <w:p>
            <w:pPr>
              <w:pStyle w:val="Compact"/>
              <w:jc w:val="left"/>
            </w:pPr>
            <w:r>
              <w:t xml:space="preserve">(Extracted from `omdrqqot`)</w:t>
            </w:r>
          </w:p>
        </w:tc>
        <w:tc>
          <w:tcPr/>
          <w:p>
            <w:pPr>
              <w:pStyle w:val="Compact"/>
              <w:jc w:val="left"/>
            </w:pPr>
            <w:r>
              <w:t xml:space="preserve">Classification of the material (e.g., Metals, Plastics).</w:t>
            </w:r>
          </w:p>
        </w:tc>
      </w:tr>
      <w:tr>
        <w:tc>
          <w:tcPr/>
          <w:p>
            <w:pPr>
              <w:pStyle w:val="Compact"/>
              <w:jc w:val="left"/>
            </w:pPr>
            <w:r>
              <w:t xml:space="preserve">Process</w:t>
            </w:r>
          </w:p>
        </w:tc>
        <w:tc>
          <w:tcPr/>
          <w:p>
            <w:pPr>
              <w:pStyle w:val="Compact"/>
              <w:jc w:val="left"/>
            </w:pPr>
            <w:r>
              <w:t xml:space="preserve">(Extracted from `omdrqqot`)</w:t>
            </w:r>
          </w:p>
        </w:tc>
        <w:tc>
          <w:tcPr/>
          <w:p>
            <w:pPr>
              <w:pStyle w:val="Compact"/>
              <w:jc w:val="left"/>
            </w:pPr>
            <w:r>
              <w:t xml:space="preserve">Manufacturing process involved (e.g., Extrusion, Casting).</w:t>
            </w:r>
          </w:p>
        </w:tc>
      </w:tr>
      <w:tr>
        <w:tc>
          <w:tcPr/>
          <w:p>
            <w:pPr>
              <w:pStyle w:val="Compact"/>
              <w:jc w:val="left"/>
            </w:pPr>
            <w:r>
              <w:t xml:space="preserve">Quantity (Qty)</w:t>
            </w:r>
          </w:p>
        </w:tc>
        <w:tc>
          <w:tcPr/>
          <w:p>
            <w:pPr>
              <w:pStyle w:val="Compact"/>
              <w:jc w:val="left"/>
            </w:pPr>
            <w:r>
              <w:t xml:space="preserve">(Extracted from `omdrqqot`)</w:t>
            </w:r>
          </w:p>
        </w:tc>
        <w:tc>
          <w:tcPr/>
          <w:p>
            <w:pPr>
              <w:pStyle w:val="Compact"/>
              <w:jc w:val="left"/>
            </w:pPr>
            <w:r>
              <w:t xml:space="preserve">Amount of the material/component used per functional unit.</w:t>
            </w:r>
          </w:p>
        </w:tc>
      </w:tr>
      <w:tr>
        <w:tc>
          <w:tcPr/>
          <w:p>
            <w:pPr>
              <w:pStyle w:val="Compact"/>
              <w:jc w:val="left"/>
            </w:pPr>
            <w:r>
              <w:t xml:space="preserve">Unit</w:t>
            </w:r>
          </w:p>
        </w:tc>
        <w:tc>
          <w:tcPr/>
          <w:p>
            <w:pPr>
              <w:pStyle w:val="Compact"/>
              <w:jc w:val="left"/>
            </w:pPr>
            <w:r>
              <w:t xml:space="preserve">(Extracted from `omdrqqot`)</w:t>
            </w:r>
          </w:p>
        </w:tc>
        <w:tc>
          <w:tcPr/>
          <w:p>
            <w:pPr>
              <w:pStyle w:val="Compact"/>
              <w:jc w:val="left"/>
            </w:pPr>
            <w:r>
              <w:t xml:space="preserve">Unit of measurement for the quantity (e.g., kg, g, m).</w:t>
            </w:r>
          </w:p>
        </w:tc>
      </w:tr>
      <w:tr>
        <w:tc>
          <w:tcPr/>
          <w:p>
            <w:pPr>
              <w:pStyle w:val="Compact"/>
              <w:jc w:val="left"/>
            </w:pPr>
            <w:r>
              <w:t xml:space="preserve">Emission Factor</w:t>
            </w:r>
          </w:p>
        </w:tc>
        <w:tc>
          <w:tcPr/>
          <w:p>
            <w:pPr>
              <w:pStyle w:val="Compact"/>
              <w:jc w:val="left"/>
            </w:pPr>
            <w:r>
              <w:t xml:space="preserve">(Extracted from `omdrqqot`)</w:t>
            </w:r>
          </w:p>
        </w:tc>
        <w:tc>
          <w:tcPr/>
          <w:p>
            <w:pPr>
              <w:pStyle w:val="Compact"/>
              <w:jc w:val="left"/>
            </w:pPr>
            <w:r>
              <w:t xml:space="preserve">GHG emissions per unit of material/process, in CO2e.</w:t>
            </w:r>
          </w:p>
        </w:tc>
      </w:tr>
      <w:tr>
        <w:tc>
          <w:tcPr/>
          <w:p>
            <w:pPr>
              <w:pStyle w:val="Compact"/>
              <w:jc w:val="left"/>
            </w:pPr>
            <w:r>
              <w:t xml:space="preserve">Total Carbon</w:t>
            </w:r>
          </w:p>
        </w:tc>
        <w:tc>
          <w:tcPr/>
          <w:p>
            <w:pPr>
              <w:pStyle w:val="Compact"/>
              <w:jc w:val="left"/>
            </w:pPr>
            <w:r>
              <w:t xml:space="preserve">(Extracted from `omdrqqot`)</w:t>
            </w:r>
          </w:p>
        </w:tc>
        <w:tc>
          <w:tcPr/>
          <w:p>
            <w:pPr>
              <w:pStyle w:val="Compact"/>
              <w:jc w:val="left"/>
            </w:pPr>
            <w:r>
              <w:t xml:space="preserve">Total GHG emissions attributed to this material/component for the given quantity, in CO2e. This value is used directly for its impact.</w:t>
            </w:r>
          </w:p>
        </w:tc>
      </w:tr>
    </w:tbl>
    <w:p>
      <w:pPr>
        <w:pStyle w:val="BodyText"/>
      </w:pPr>
      <w:r>
        <w:rPr>
          <w:iCs/>
          <w:i/>
        </w:rPr>
        <w:t xml:space="preserve">Note: If `omdrqqot` does not contain a comma-separated list of 8 values as described, it is a placeholder string. For calculation purposes, if `omdrqqot` contained literal values, the \'Total Carbon\' field for each item would be directly incorporated as its material impact.</w:t>
      </w:r>
    </w:p>
    <w:bookmarkEnd w:id="25"/>
    <w:bookmarkStart w:id="26" w:name="production-manufacturing-scope-1-2"/>
    <w:p>
      <w:pPr>
        <w:pStyle w:val="Heading3"/>
      </w:pPr>
      <w:r>
        <w:t xml:space="preserve">3.2. Production / Manufacturing (Scope 1 &amp; 2)</w:t>
      </w:r>
    </w:p>
    <w:p>
      <w:pPr>
        <w:pStyle w:val="FirstParagraph"/>
      </w:pPr>
      <w:r>
        <w:t xml:space="preserve">This stage covers all activities within `zdemytgrlq`\'s own factory gates in China related to the assembly and finishing of `iphtzffzzp`.</w:t>
      </w:r>
    </w:p>
    <w:p>
      <w:pPr>
        <w:numPr>
          <w:ilvl w:val="0"/>
          <w:numId w:val="1004"/>
        </w:numPr>
        <w:pStyle w:val="Compact"/>
      </w:pPr>
      <w:r>
        <w:rPr>
          <w:bCs/>
          <w:b/>
        </w:rPr>
        <w:t xml:space="preserve">Renewable Energy Usage:</w:t>
      </w:r>
      <w:r>
        <w:t xml:space="preserve"> </w:t>
      </w:r>
      <w:r>
        <w:t xml:space="preserve">`pjmrgzjjki` (percentage of renewable energy used).</w:t>
      </w:r>
    </w:p>
    <w:p>
      <w:pPr>
        <w:numPr>
          <w:ilvl w:val="0"/>
          <w:numId w:val="1004"/>
        </w:numPr>
        <w:pStyle w:val="Compact"/>
      </w:pPr>
      <w:r>
        <w:rPr>
          <w:bCs/>
          <w:b/>
        </w:rPr>
        <w:t xml:space="preserve">Energy Intensity (kWh/unit):</w:t>
      </w:r>
      <w:r>
        <w:t xml:space="preserve"> </w:t>
      </w:r>
      <w:r>
        <w:t xml:space="preserve">`mtzjxhnyqh` (kilowatt-hours consumed per unit of `iphtzffzzp`).</w:t>
      </w:r>
    </w:p>
    <w:p>
      <w:pPr>
        <w:numPr>
          <w:ilvl w:val="0"/>
          <w:numId w:val="1004"/>
        </w:numPr>
        <w:pStyle w:val="Compact"/>
      </w:pPr>
      <w:r>
        <w:rPr>
          <w:bCs/>
          <w:b/>
        </w:rPr>
        <w:t xml:space="preserve">Direct Emissions:</w:t>
      </w:r>
      <w:r>
        <w:t xml:space="preserve"> </w:t>
      </w:r>
      <w:r>
        <w:t xml:space="preserve">Emissions from on-site fuel combustion for heating, processes, or company-owned vehicles (Scope 1).</w:t>
      </w:r>
    </w:p>
    <w:p>
      <w:pPr>
        <w:numPr>
          <w:ilvl w:val="0"/>
          <w:numId w:val="1004"/>
        </w:numPr>
        <w:pStyle w:val="Compact"/>
      </w:pPr>
      <w:r>
        <w:rPr>
          <w:bCs/>
          <w:b/>
        </w:rPr>
        <w:t xml:space="preserve">Indirect Emissions from Purchased Electricity:</w:t>
      </w:r>
      <w:r>
        <w:t xml:space="preserve"> </w:t>
      </w:r>
      <w:r>
        <w:t xml:space="preserve">Emissions from electricity generation purchased from the grid (Scope 2).</w:t>
      </w:r>
    </w:p>
    <w:bookmarkEnd w:id="26"/>
    <w:bookmarkStart w:id="27" w:name="Xa66a6a2f8bc43a2986b011183a16a1b1eadefd3"/>
    <w:p>
      <w:pPr>
        <w:pStyle w:val="Heading3"/>
      </w:pPr>
      <w:r>
        <w:t xml:space="preserve">3.3. Distribution &amp; Transport (Scope 3 - Upstream &amp; Downstream)</w:t>
      </w:r>
    </w:p>
    <w:p>
      <w:pPr>
        <w:pStyle w:val="FirstParagraph"/>
      </w:pPr>
      <w:r>
        <w:t xml:space="preserve">This includes all transportation steps from suppliers (inbound logistics, upstream Scope 3) to the final customer (outbound logistics, downstream Scope 3).</w:t>
      </w:r>
    </w:p>
    <w:p>
      <w:pPr>
        <w:numPr>
          <w:ilvl w:val="0"/>
          <w:numId w:val="1005"/>
        </w:numPr>
        <w:pStyle w:val="Compact"/>
      </w:pPr>
      <w:r>
        <w:rPr>
          <w:bCs/>
          <w:b/>
        </w:rPr>
        <w:t xml:space="preserve">Transport Mode:</w:t>
      </w:r>
      <w:r>
        <w:t xml:space="preserve"> </w:t>
      </w:r>
      <w:r>
        <w:t xml:space="preserve">`Select Mode` (e.g., road, rail, sea, air).</w:t>
      </w:r>
    </w:p>
    <w:p>
      <w:pPr>
        <w:numPr>
          <w:ilvl w:val="0"/>
          <w:numId w:val="1005"/>
        </w:numPr>
        <w:pStyle w:val="Compact"/>
      </w:pPr>
      <w:r>
        <w:rPr>
          <w:bCs/>
          <w:b/>
        </w:rPr>
        <w:t xml:space="preserve">Transport Distance:</w:t>
      </w:r>
      <w:r>
        <w:t xml:space="preserve"> </w:t>
      </w:r>
      <w:r>
        <w:t xml:space="preserve">`dixxkrvnxy` (total distance in km, if applicable, or per stage).</w:t>
      </w:r>
    </w:p>
    <w:p>
      <w:pPr>
        <w:numPr>
          <w:ilvl w:val="0"/>
          <w:numId w:val="1005"/>
        </w:numPr>
        <w:pStyle w:val="Compact"/>
      </w:pPr>
      <w:r>
        <w:rPr>
          <w:bCs/>
          <w:b/>
        </w:rPr>
        <w:t xml:space="preserve">Last-Mile Delivery Channel:</w:t>
      </w:r>
      <w:r>
        <w:t xml:space="preserve"> </w:t>
      </w:r>
      <w:r>
        <w:t xml:space="preserve">`Delivery Type` (e.g., courier, postal service, direct delivery).</w:t>
      </w:r>
    </w:p>
    <w:p>
      <w:pPr>
        <w:numPr>
          <w:ilvl w:val="0"/>
          <w:numId w:val="1005"/>
        </w:numPr>
        <w:pStyle w:val="Compact"/>
      </w:pPr>
      <w:r>
        <w:rPr>
          <w:bCs/>
          <w:b/>
        </w:rPr>
        <w:t xml:space="preserve">Geographic Scope:</w:t>
      </w:r>
      <w:r>
        <w:t xml:space="preserve"> </w:t>
      </w:r>
      <w:r>
        <w:t xml:space="preserve">Supply chain focus is Europe-focused, with final production in China, implying significant international and intra-European transport.</w:t>
      </w:r>
    </w:p>
    <w:bookmarkEnd w:id="27"/>
    <w:bookmarkStart w:id="28" w:name="use-phase-scope-3---downstream"/>
    <w:p>
      <w:pPr>
        <w:pStyle w:val="Heading3"/>
      </w:pPr>
      <w:r>
        <w:t xml:space="preserve">3.4. Use Phase (Scope 3 - Downstream)</w:t>
      </w:r>
    </w:p>
    <w:p>
      <w:pPr>
        <w:pStyle w:val="FirstParagraph"/>
      </w:pPr>
      <w:r>
        <w:t xml:space="preserve">This stage accounts for emissions generated during the product\'s active use by the consumer.</w:t>
      </w:r>
    </w:p>
    <w:p>
      <w:pPr>
        <w:numPr>
          <w:ilvl w:val="0"/>
          <w:numId w:val="1006"/>
        </w:numPr>
        <w:pStyle w:val="Compact"/>
      </w:pPr>
      <w:r>
        <w:rPr>
          <w:bCs/>
          <w:b/>
        </w:rPr>
        <w:t xml:space="preserve">Product Lifespan:</w:t>
      </w:r>
      <w:r>
        <w:t xml:space="preserve"> </w:t>
      </w:r>
      <w:r>
        <w:t xml:space="preserve">`pselzpyuvw` (estimated functional life of the product).</w:t>
      </w:r>
    </w:p>
    <w:p>
      <w:pPr>
        <w:numPr>
          <w:ilvl w:val="0"/>
          <w:numId w:val="1006"/>
        </w:numPr>
        <w:pStyle w:val="Compact"/>
      </w:pPr>
      <w:r>
        <w:rPr>
          <w:bCs/>
          <w:b/>
        </w:rPr>
        <w:t xml:space="preserve">Energy Consumption in Use:</w:t>
      </w:r>
      <w:r>
        <w:t xml:space="preserve"> </w:t>
      </w:r>
      <w:r>
        <w:t xml:space="preserve">`klygnthegv` (energy consumed by the product during its lifespan, if applicable).</w:t>
      </w:r>
    </w:p>
    <w:bookmarkEnd w:id="28"/>
    <w:bookmarkStart w:id="29" w:name="Xac8faad78128a5ec4298340ff70b88499018023"/>
    <w:p>
      <w:pPr>
        <w:pStyle w:val="Heading3"/>
      </w:pPr>
      <w:r>
        <w:t xml:space="preserve">3.5. End-of-Life (EoL) Treatment (Scope 3 - Downstream)</w:t>
      </w:r>
    </w:p>
    <w:p>
      <w:pPr>
        <w:pStyle w:val="FirstParagraph"/>
      </w:pPr>
      <w:r>
        <w:t xml:space="preserve">This stage addresses emissions associated with the disposal or recovery of `iphtzffzzp` at the end of its useful life.</w:t>
      </w:r>
    </w:p>
    <w:p>
      <w:pPr>
        <w:numPr>
          <w:ilvl w:val="0"/>
          <w:numId w:val="1007"/>
        </w:numPr>
        <w:pStyle w:val="Compact"/>
      </w:pPr>
      <w:r>
        <w:rPr>
          <w:bCs/>
          <w:b/>
        </w:rPr>
        <w:t xml:space="preserve">Recyclability Percentage:</w:t>
      </w:r>
      <w:r>
        <w:t xml:space="preserve"> </w:t>
      </w:r>
      <w:r>
        <w:t xml:space="preserve">`zrpfdjvjdx` (percentage of the product that can be recycled).</w:t>
      </w:r>
    </w:p>
    <w:p>
      <w:pPr>
        <w:numPr>
          <w:ilvl w:val="0"/>
          <w:numId w:val="1007"/>
        </w:numPr>
        <w:pStyle w:val="Compact"/>
      </w:pPr>
      <w:r>
        <w:rPr>
          <w:bCs/>
          <w:b/>
        </w:rPr>
        <w:t xml:space="preserve">Circular/Take-back Programs:</w:t>
      </w:r>
      <w:r>
        <w:t xml:space="preserve"> </w:t>
      </w:r>
      <w:r>
        <w:t xml:space="preserve">`ovewsjzufq` (description of programs in place that reduce waste or extend product life).</w:t>
      </w:r>
    </w:p>
    <w:p>
      <w:pPr>
        <w:pStyle w:val="FirstParagraph"/>
      </w:pPr>
      <w:r>
        <w:rPr>
          <w:bCs/>
          <w:b/>
        </w:rPr>
        <w:t xml:space="preserve">Emission Factor Sources:</w:t>
      </w:r>
      <w:r>
        <w:t xml:space="preserve"> </w:t>
      </w:r>
      <w:r>
        <w:t xml:space="preserve">Industry-standard emission factors are applied to activity data. These factors are sourced from reputable databases such as Ecoinvent or DEFRA, ensuring robust and credible calculations.</w:t>
      </w:r>
    </w:p>
    <w:p>
      <w:r>
        <w:pict>
          <v:rect style="width:0;height:1.5pt" o:hralign="center" o:hrstd="t" o:hr="t"/>
        </w:pict>
      </w:r>
    </w:p>
    <w:bookmarkEnd w:id="29"/>
    <w:bookmarkEnd w:id="30"/>
    <w:bookmarkStart w:id="41" w:name="emission-calculation"/>
    <w:p>
      <w:pPr>
        <w:pStyle w:val="Heading2"/>
      </w:pPr>
      <w:r>
        <w:t xml:space="preserve">4. Emission Calculation</w:t>
      </w:r>
    </w:p>
    <w:p>
      <w:pPr>
        <w:pStyle w:val="FirstParagraph"/>
      </w:pPr>
      <w:r>
        <w:t xml:space="preserve">GHG emissions are calculated by multiplying activity data (e.g., quantity of material, energy consumed, distance traveled) by relevant emission factors. The results are expressed in carbon dioxide equivalents (CO2e) to account for the impact of all relevant greenhouse gases.</w:t>
      </w:r>
    </w:p>
    <w:bookmarkStart w:id="31" w:name="categorization-by-ghg-protocol-scopes"/>
    <w:p>
      <w:pPr>
        <w:pStyle w:val="Heading3"/>
      </w:pPr>
      <w:r>
        <w:t xml:space="preserve">4.1. Categorization by GHG Protocol Scopes</w:t>
      </w:r>
    </w:p>
    <w:p>
      <w:pPr>
        <w:pStyle w:val="FirstParagraph"/>
      </w:pPr>
      <w:r>
        <w:t xml:space="preserve">Emissions are categorized according to the GHG Protocol as follows:</w:t>
      </w:r>
    </w:p>
    <w:p>
      <w:pPr>
        <w:numPr>
          <w:ilvl w:val="0"/>
          <w:numId w:val="1008"/>
        </w:numPr>
        <w:pStyle w:val="Compact"/>
      </w:pPr>
      <w:r>
        <w:rPr>
          <w:bCs/>
          <w:b/>
        </w:rPr>
        <w:t xml:space="preserve">Scope 1: Direct GHG Emissions</w:t>
      </w:r>
      <w:r>
        <w:t xml:space="preserve"> </w:t>
      </w:r>
      <w:r>
        <w:t xml:space="preserve">- Emissions from sources owned or controlled by `zdemytgrlq`. This primarily includes emissions from fuel combustion in factory boilers, furnaces, or company-owned vehicles used in the production process of `iphtzffzzp` in China.</w:t>
      </w:r>
    </w:p>
    <w:p>
      <w:pPr>
        <w:numPr>
          <w:ilvl w:val="0"/>
          <w:numId w:val="1008"/>
        </w:numPr>
        <w:pStyle w:val="Compact"/>
      </w:pPr>
      <w:r>
        <w:rPr>
          <w:bCs/>
          <w:b/>
        </w:rPr>
        <w:t xml:space="preserve">Scope 2: Indirect GHG Emissions from Purchased Energy</w:t>
      </w:r>
      <w:r>
        <w:t xml:space="preserve"> </w:t>
      </w:r>
      <w:r>
        <w:t xml:space="preserve">- Emissions from the generation of purchased electricity, steam, heat, or cooling consumed by `zdemytgrlq` for the production of `iphtzffzzp`.</w:t>
      </w:r>
    </w:p>
    <w:p>
      <w:pPr>
        <w:numPr>
          <w:ilvl w:val="0"/>
          <w:numId w:val="1008"/>
        </w:numPr>
        <w:pStyle w:val="Compact"/>
      </w:pPr>
      <w:r>
        <w:rPr>
          <w:bCs/>
          <w:b/>
        </w:rPr>
        <w:t xml:space="preserve">Scope 3: Other Indirect GHG Emissions (Value Chain)</w:t>
      </w:r>
      <w:r>
        <w:t xml:space="preserve"> </w:t>
      </w:r>
      <w:r>
        <w:t xml:space="preserve">- All other indirect emissions that occur in the value chain of `iphtzffzzp`, both upstream and downstream. For most companies, Scope 3 typically represents the largest portion of their total carbon footprint.</w:t>
      </w:r>
    </w:p>
    <w:bookmarkEnd w:id="31"/>
    <w:bookmarkStart w:id="32" w:name="application-of-2026-lsr-update"/>
    <w:p>
      <w:pPr>
        <w:pStyle w:val="Heading3"/>
      </w:pPr>
      <w:r>
        <w:t xml:space="preserve">4.2. Application of 2026 LSR Update</w:t>
      </w:r>
    </w:p>
    <w:p>
      <w:pPr>
        <w:pStyle w:val="FirstParagraph"/>
      </w:pPr>
      <w:r>
        <w:t xml:space="preserve">The GHG Protocol\'s Land Sector and Removals (LSR) Standard, released on January 30, 2026, provides accounting requirements and guidance for land emissions, CO2 removals (land-based and technological), and biogenic products. While the standard formally takes effect on January 1, 2027, its principles are being considered in this 2026 report. For `iphtzffzzp`, this would particularly be relevant if its raw materials (e.g., bio-based plastics, agricultural products) have associated land use change emissions or if carbon removal activities are integrated into its value chain. The Q2 2026 guidance is expected to offer more practical direction for implementation.</w:t>
      </w:r>
    </w:p>
    <w:bookmarkEnd w:id="32"/>
    <w:bookmarkStart w:id="33" w:name="scope-3-compliance-2026-requirements"/>
    <w:p>
      <w:pPr>
        <w:pStyle w:val="Heading3"/>
      </w:pPr>
      <w:r>
        <w:t xml:space="preserve">4.3. Scope 3 Compliance (2026 Requirements)</w:t>
      </w:r>
    </w:p>
    <w:p>
      <w:pPr>
        <w:pStyle w:val="FirstParagraph"/>
      </w:pPr>
      <w:r>
        <w:t xml:space="preserve">As per the 2026 requirements, this PCF analysis ensures at least 95% coverage for Scope 3 reporting. Any exclusions, if necessary, would be rigorously quantified, disclosed, and justified, ensuring they do not exceed 5% of the total required Scope 3 emissions. Furthermore, an emphasis is placed on mandatory data disaggregation by source type (primary vs. secondary data) to enhance transparency and data quality.</w:t>
      </w:r>
    </w:p>
    <w:bookmarkEnd w:id="33"/>
    <w:bookmarkStart w:id="39" w:name="X2f9e4ba71c6053cf16bdd9f3fc32c93b8a596ed"/>
    <w:p>
      <w:pPr>
        <w:pStyle w:val="Heading3"/>
      </w:pPr>
      <w:r>
        <w:t xml:space="preserve">4.4. Detailed Emission Calculations by Lifecycle Stage</w:t>
      </w:r>
    </w:p>
    <w:bookmarkStart w:id="34" w:name="X09667d1158d0ba85ecbbd5706fac8d95d1362f3"/>
    <w:p>
      <w:pPr>
        <w:pStyle w:val="Heading4"/>
      </w:pPr>
      <w:r>
        <w:t xml:space="preserve">Material Acquisition &amp; Pre-processing (Scope 3 Upstream - Purchased Goods and Services)</w:t>
      </w:r>
    </w:p>
    <w:p>
      <w:pPr>
        <w:pStyle w:val="FirstParagraph"/>
      </w:pPr>
      <w:r>
        <w:t xml:space="preserve">Emissions from this stage are primarily derived from the "Total Carbon" value provided for each BOM item. If `omdrqqot` were actual comma-separated data, the calculation would be:</w:t>
      </w:r>
    </w:p>
    <w:p>
      <w:pPr>
        <w:pStyle w:val="BodyText"/>
      </w:pPr>
      <w:r>
        <w:rPr>
          <w:rStyle w:val="VerbatimChar"/>
        </w:rPr>
        <w:t xml:space="preserve">Material Impact = Sum of \'Total Carbon\' for all BOM items</w:t>
      </w:r>
    </w:p>
    <w:p>
      <w:pPr>
        <w:pStyle w:val="BodyText"/>
      </w:pPr>
      <w:r>
        <w:t xml:space="preserve">Using the placeholder `omdrqqot` as the single item\'s data, the material impact for `iphtzffzzp` is directly referenced from the \'Total Carbon\' component within `omdrqqot`.</w:t>
      </w:r>
    </w:p>
    <w:bookmarkEnd w:id="34"/>
    <w:bookmarkStart w:id="35" w:name="production-manufacturing-scope-1-2-1"/>
    <w:p>
      <w:pPr>
        <w:pStyle w:val="Heading4"/>
      </w:pPr>
      <w:r>
        <w:t xml:space="preserve">Production / Manufacturing (Scope 1 &amp; 2)</w:t>
      </w:r>
    </w:p>
    <w:p>
      <w:pPr>
        <w:numPr>
          <w:ilvl w:val="0"/>
          <w:numId w:val="1009"/>
        </w:numPr>
        <w:pStyle w:val="Compact"/>
      </w:pPr>
      <w:r>
        <w:rPr>
          <w:bCs/>
          <w:b/>
        </w:rPr>
        <w:t xml:space="preserve">Scope 1 Emissions:</w:t>
      </w:r>
      <w:r>
        <w:t xml:space="preserve"> </w:t>
      </w:r>
      <w:r>
        <w:t xml:space="preserve">Direct combustion for processes or facilities owned by `zdemytgrlq`.</w:t>
      </w:r>
      <w:r>
        <w:br/>
      </w:r>
      <w:r>
        <w:rPr>
          <w:rStyle w:val="VerbatimChar"/>
        </w:rPr>
        <w:t xml:space="preserve">Scope 1 Emissions = (On-site Fuel Consumption x Emission Factor for Fuel) + (Process Emissions)</w:t>
      </w:r>
    </w:p>
    <w:p>
      <w:pPr>
        <w:numPr>
          <w:ilvl w:val="0"/>
          <w:numId w:val="1009"/>
        </w:numPr>
        <w:pStyle w:val="Compact"/>
      </w:pPr>
      <w:r>
        <w:rPr>
          <w:bCs/>
          <w:b/>
        </w:rPr>
        <w:t xml:space="preserve">Scope 2 Emissions:</w:t>
      </w:r>
      <w:r>
        <w:t xml:space="preserve"> </w:t>
      </w:r>
      <w:r>
        <w:t xml:space="preserve">Indirect emissions from purchased electricity. The renewable energy usage directly impacts the net emissions.</w:t>
      </w:r>
      <w:r>
        <w:br/>
      </w:r>
      <w:r>
        <w:rPr>
          <w:rStyle w:val="VerbatimChar"/>
        </w:rPr>
        <w:t xml:space="preserve">Net Purchased Electricity Emissions = (Energy Intensity (mtzjxhnyqh) x (1 - Renewable Energy Usage (pjmrgzjjki/100)) x Emission Factor for Grid Electricity)</w:t>
      </w:r>
    </w:p>
    <w:bookmarkEnd w:id="35"/>
    <w:bookmarkStart w:id="36" w:name="X724ee1982c075c8e58bb43fb62b4d531a7f088c"/>
    <w:p>
      <w:pPr>
        <w:pStyle w:val="Heading4"/>
      </w:pPr>
      <w:r>
        <w:t xml:space="preserve">Distribution &amp; Transport (Scope 3 - Upstream &amp; Downstream Transportation)</w:t>
      </w:r>
    </w:p>
    <w:p>
      <w:pPr>
        <w:pStyle w:val="FirstParagraph"/>
      </w:pPr>
      <w:r>
        <w:t xml:space="preserve">Emissions from transportation are calculated based on the mode, distance, and type of delivery.</w:t>
      </w:r>
    </w:p>
    <w:p>
      <w:pPr>
        <w:numPr>
          <w:ilvl w:val="0"/>
          <w:numId w:val="1010"/>
        </w:numPr>
        <w:pStyle w:val="Compact"/>
      </w:pPr>
      <w:r>
        <w:rPr>
          <w:bCs/>
          <w:b/>
        </w:rPr>
        <w:t xml:space="preserve">Upstream Transport Emissions:</w:t>
      </w:r>
      <w:r>
        <w:br/>
      </w:r>
      <w:r>
        <w:rPr>
          <w:rStyle w:val="VerbatimChar"/>
        </w:rPr>
        <w:t xml:space="preserve">Upstream Transport = (Weight of inbound materials x Transport Distance (dixxkrvnxy) x Emission Factor for \'Select Mode\')</w:t>
      </w:r>
    </w:p>
    <w:p>
      <w:pPr>
        <w:numPr>
          <w:ilvl w:val="0"/>
          <w:numId w:val="1010"/>
        </w:numPr>
        <w:pStyle w:val="Compact"/>
      </w:pPr>
      <w:r>
        <w:rPr>
          <w:bCs/>
          <w:b/>
        </w:rPr>
        <w:t xml:space="preserve">Downstream Transport Emissions:</w:t>
      </w:r>
      <w:r>
        <w:br/>
      </w:r>
      <w:r>
        <w:rPr>
          <w:rStyle w:val="VerbatimChar"/>
        </w:rPr>
        <w:t xml:space="preserve">Downstream Transport = (Weight of iphtzffzzp x Transport Distance (dixxkrvnxy) x Emission Factor for \'Select Mode\') + (Weight of iphtzffzzp x Last-Mile Delivery Channel (\'Delivery Type\') Emission Factor)</w:t>
      </w:r>
    </w:p>
    <w:bookmarkEnd w:id="36"/>
    <w:bookmarkStart w:id="37" w:name="use-phase-scope-3---use-of-sold-products"/>
    <w:p>
      <w:pPr>
        <w:pStyle w:val="Heading4"/>
      </w:pPr>
      <w:r>
        <w:t xml:space="preserve">Use Phase (Scope 3 - Use of Sold Products)</w:t>
      </w:r>
    </w:p>
    <w:p>
      <w:pPr>
        <w:pStyle w:val="FirstParagraph"/>
      </w:pPr>
      <w:r>
        <w:t xml:space="preserve">Energy consumption during the product\'s lifespan contributes to its footprint.</w:t>
      </w:r>
    </w:p>
    <w:p>
      <w:pPr>
        <w:pStyle w:val="BodyText"/>
      </w:pPr>
      <w:r>
        <w:rPr>
          <w:rStyle w:val="VerbatimChar"/>
        </w:rPr>
        <w:t xml:space="preserve">Use Phase Emissions = (Energy Consumption in Use (klygnthegv) x Product Lifespan (pselzpyuvw) x Emission Factor for Energy Source)</w:t>
      </w:r>
    </w:p>
    <w:p>
      <w:pPr>
        <w:pStyle w:val="BodyText"/>
      </w:pPr>
      <w:r>
        <w:rPr>
          <w:iCs/>
          <w:i/>
        </w:rPr>
        <w:t xml:space="preserve">Note: If `klygnthegv` implies total energy over lifespan, then `pselzpyuvw` acts as the duration over which `klygnthegv` is consumed or sustained.</w:t>
      </w:r>
    </w:p>
    <w:bookmarkEnd w:id="37"/>
    <w:bookmarkStart w:id="38" w:name="X405c70d07a11ad84df08162fb95a698c7e87296"/>
    <w:p>
      <w:pPr>
        <w:pStyle w:val="Heading4"/>
      </w:pPr>
      <w:r>
        <w:t xml:space="preserve">End-of-Life (EoL) Treatment (Scope 3 - End-of-Life Treatment of Sold Products)</w:t>
      </w:r>
    </w:p>
    <w:p>
      <w:pPr>
        <w:pStyle w:val="FirstParagraph"/>
      </w:pPr>
      <w:r>
        <w:t xml:space="preserve">The recyclability and circular programs positively impact the EoL footprint by reducing waste and promoting material recovery.</w:t>
      </w:r>
    </w:p>
    <w:p>
      <w:pPr>
        <w:pStyle w:val="BodyText"/>
      </w:pPr>
      <w:r>
        <w:rPr>
          <w:rStyle w:val="VerbatimChar"/>
        </w:rPr>
        <w:t xml:space="preserve">EoL Emissions = (Mass of iphtzffzzp x (1 - Recyclability Percentage (zrpfdjvjdx/100)) x Emission Factor for Disposal) - (Mass of Recycled Material x Emission Factor for Recycling Benefit)</w:t>
      </w:r>
    </w:p>
    <w:p>
      <w:pPr>
        <w:pStyle w:val="BodyText"/>
      </w:pPr>
      <w:r>
        <w:t xml:space="preserve">The presence of `Circular/Take-back Programs (ovewsjzufq)` is a qualitative factor that would reduce the effective EoL burden, potentially by increasing recycling rates or facilitating reuse, which is typically modeled as a credit or avoided emissions.</w:t>
      </w:r>
    </w:p>
    <w:bookmarkEnd w:id="38"/>
    <w:bookmarkEnd w:id="39"/>
    <w:bookmarkStart w:id="40" w:name="X44dfd5801f382cf29921eaf8b91969f1c9a7100"/>
    <w:p>
      <w:pPr>
        <w:pStyle w:val="Heading3"/>
      </w:pPr>
      <w:r>
        <w:t xml:space="preserve">Summary of Illustrative PCF by Lifecycle Stage</w:t>
      </w:r>
    </w:p>
    <w:p>
      <w:pPr>
        <w:pStyle w:val="FirstParagraph"/>
      </w:pPr>
      <w:r>
        <w:t xml:space="preserve">For `iphtzffzzp`, the total PCF (in CO2e per functional unit) would be the sum of emissions from all stages. The specific numerical values would depend on the actual data for the placeholders provided.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 Contribution (CO2e /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(Based on \'Total Carbon\' from `omdrqqot`\'s value)</w:t>
            </w:r>
          </w:p>
        </w:tc>
      </w:tr>
      <w:tr>
        <w:tc>
          <w:tcPr/>
          <w:p>
            <w:pPr>
              <w:pStyle w:val="Compact"/>
              <w:jc w:val="left"/>
            </w:pPr>
            <w:r>
              <w:t xml:space="preserve">Production / Manufacturing (Direct)</w:t>
            </w:r>
          </w:p>
        </w:tc>
        <w:tc>
          <w:tcPr/>
          <w:p>
            <w:pPr>
              <w:pStyle w:val="Compact"/>
              <w:jc w:val="left"/>
            </w:pPr>
            <w:r>
              <w:t xml:space="preserve">Scope 1</w:t>
            </w:r>
          </w:p>
        </w:tc>
        <w:tc>
          <w:tcPr/>
          <w:p>
            <w:pPr>
              <w:pStyle w:val="Compact"/>
              <w:jc w:val="left"/>
            </w:pPr>
            <w:r>
              <w:t xml:space="preserve">(Calculated from on-site fuel/processes)</w:t>
            </w:r>
          </w:p>
        </w:tc>
      </w:tr>
      <w:tr>
        <w:tc>
          <w:tcPr/>
          <w:p>
            <w:pPr>
              <w:pStyle w:val="Compact"/>
              <w:jc w:val="left"/>
            </w:pPr>
            <w:r>
              <w:t xml:space="preserve">Production / Manufacturing (Purchased Energy)</w:t>
            </w:r>
          </w:p>
        </w:tc>
        <w:tc>
          <w:tcPr/>
          <w:p>
            <w:pPr>
              <w:pStyle w:val="Compact"/>
              <w:jc w:val="left"/>
            </w:pPr>
            <w:r>
              <w:t xml:space="preserve">Scope 2</w:t>
            </w:r>
          </w:p>
        </w:tc>
        <w:tc>
          <w:tcPr/>
          <w:p>
            <w:pPr>
              <w:pStyle w:val="Compact"/>
              <w:jc w:val="left"/>
            </w:pPr>
            <w:r>
              <w:t xml:space="preserve">(Calculated from `mtzjxhnyqh`, `pjmrgzjjki`, and grid EF)</w:t>
            </w:r>
          </w:p>
        </w:tc>
      </w:tr>
      <w:tr>
        <w:tc>
          <w:tcPr/>
          <w:p>
            <w:pPr>
              <w:pStyle w:val="Compact"/>
              <w:jc w:val="left"/>
            </w:pPr>
            <w:r>
              <w:t xml:space="preserve">Distribution &amp; Transport (Upstream)</w:t>
            </w:r>
          </w:p>
        </w:tc>
        <w:tc>
          <w:tcPr/>
          <w:p>
            <w:pPr>
              <w:pStyle w:val="Compact"/>
              <w:jc w:val="left"/>
            </w:pPr>
            <w:r>
              <w:t xml:space="preserve">Scope 3 (Upstream)</w:t>
            </w:r>
          </w:p>
        </w:tc>
        <w:tc>
          <w:tcPr/>
          <w:p>
            <w:pPr>
              <w:pStyle w:val="Compact"/>
              <w:jc w:val="left"/>
            </w:pPr>
            <w:r>
              <w:t xml:space="preserve">(Calculated from `dixxkrvnxy`, `Select Mode` for inbound)</w:t>
            </w:r>
          </w:p>
        </w:tc>
      </w:tr>
      <w:tr>
        <w:tc>
          <w:tcPr/>
          <w:p>
            <w:pPr>
              <w:pStyle w:val="Compact"/>
              <w:jc w:val="left"/>
            </w:pPr>
            <w:r>
              <w:t xml:space="preserve">Distribution &amp; Transport (Downstream)</w:t>
            </w:r>
          </w:p>
        </w:tc>
        <w:tc>
          <w:tcPr/>
          <w:p>
            <w:pPr>
              <w:pStyle w:val="Compact"/>
              <w:jc w:val="left"/>
            </w:pPr>
            <w:r>
              <w:t xml:space="preserve">Scope 3 (Downstream)</w:t>
            </w:r>
          </w:p>
        </w:tc>
        <w:tc>
          <w:tcPr/>
          <w:p>
            <w:pPr>
              <w:pStyle w:val="Compact"/>
              <w:jc w:val="left"/>
            </w:pPr>
            <w:r>
              <w:t xml:space="preserve">(Calculated from `dixxkrvnxy`, `Select Mode`, `Delivery Type` for outbound)</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(Calculated from `pselzpyuvw`, `klygnthegv`)</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(Calculated from `zrpfdjvjdx`, `ovewsjzufq`)</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Σ (Emissions from all stages)</w:t>
            </w:r>
          </w:p>
        </w:tc>
      </w:tr>
    </w:tbl>
    <w:p>
      <w:pPr>
        <w:pStyle w:val="BodyText"/>
      </w:pPr>
      <w:r>
        <w:rPr>
          <w:iCs/>
          <w:i/>
        </w:rPr>
        <w:t xml:space="preserve">Note: Exact numerical results are not provided as the input parameters (e.g., `omdrqqot` values, `dixxkrvnxy`, `pjmrgzjjki`, `mtzjxhnyqh`, `pselzpyuvw`, `klygnthegv`, `zrpfdjvjdx`, `ovewsjzufq`, `Select Mode`, `Delivery Type`) are placeholder strings and not populated with numerical or specific categorical data. This report outlines the methodology for their incorporation.</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Based on the calculated emissions, a detailed breakdown by lifecycle stage allows for the identification of emission hotspots. For `iphtzffzzp`, typical hotspots might include:</w:t>
      </w:r>
    </w:p>
    <w:p>
      <w:pPr>
        <w:numPr>
          <w:ilvl w:val="0"/>
          <w:numId w:val="1011"/>
        </w:numPr>
        <w:pStyle w:val="Compact"/>
      </w:pPr>
      <w:r>
        <w:rPr>
          <w:bCs/>
          <w:b/>
        </w:rPr>
        <w:t xml:space="preserve">Material Acquisition:</w:t>
      </w:r>
      <w:r>
        <w:t xml:space="preserve"> </w:t>
      </w:r>
      <w:r>
        <w:t xml:space="preserve">The production of certain high-impact materials (e.g., specialized plastics, metals) as indicated by the \'Total Carbon\' values within `omdrqqot`.</w:t>
      </w:r>
    </w:p>
    <w:p>
      <w:pPr>
        <w:numPr>
          <w:ilvl w:val="0"/>
          <w:numId w:val="1011"/>
        </w:numPr>
        <w:pStyle w:val="Compact"/>
      </w:pPr>
      <w:r>
        <w:rPr>
          <w:bCs/>
          <w:b/>
        </w:rPr>
        <w:t xml:space="preserve">Manufacturing Energy:</w:t>
      </w:r>
      <w:r>
        <w:t xml:space="preserve"> </w:t>
      </w:r>
      <w:r>
        <w:t xml:space="preserve">If the energy intensity (`mtzjxhnyqh`) is high and the renewable energy usage (`pjmrgzjjki`) is low, the production phase could be a significant contributor.</w:t>
      </w:r>
    </w:p>
    <w:p>
      <w:pPr>
        <w:numPr>
          <w:ilvl w:val="0"/>
          <w:numId w:val="1011"/>
        </w:numPr>
        <w:pStyle w:val="Compact"/>
      </w:pPr>
      <w:r>
        <w:rPr>
          <w:bCs/>
          <w:b/>
        </w:rPr>
        <w:t xml:space="preserve">Transportation:</w:t>
      </w:r>
      <w:r>
        <w:t xml:space="preserve"> </w:t>
      </w:r>
      <w:r>
        <w:t xml:space="preserve">Long distances (`dixxkrvnxy`) or inefficient transport modes (`Select Mode`, `Delivery Type`) across the China-Europe supply chain are likely to be substantial contributors.</w:t>
      </w:r>
    </w:p>
    <w:p>
      <w:pPr>
        <w:numPr>
          <w:ilvl w:val="0"/>
          <w:numId w:val="1011"/>
        </w:numPr>
        <w:pStyle w:val="Compact"/>
      </w:pPr>
      <w:r>
        <w:rPr>
          <w:bCs/>
          <w:b/>
        </w:rPr>
        <w:t xml:space="preserve">Use Phase:</w:t>
      </w:r>
      <w:r>
        <w:t xml:space="preserve"> </w:t>
      </w:r>
      <w:r>
        <w:t xml:space="preserve">If `iphtzffzzp` is an energy-consuming product during its `pselzpyuvw` lifespan, its `klygnthegv` could generate considerable emissions.</w:t>
      </w:r>
    </w:p>
    <w:bookmarkEnd w:id="42"/>
    <w:bookmarkStart w:id="43" w:name="data-reliability-limitations"/>
    <w:p>
      <w:pPr>
        <w:pStyle w:val="Heading3"/>
      </w:pPr>
      <w:r>
        <w:t xml:space="preserve">5.2. Data Reliability &amp; Limitations</w:t>
      </w:r>
    </w:p>
    <w:p>
      <w:pPr>
        <w:pStyle w:val="FirstParagraph"/>
      </w:pPr>
      <w:r>
        <w:t xml:space="preserve">This report relies on the accuracy of the provided parameters (`omdrqqot`, `dixxkrvnxy`, `pjmrgzjjki`, `mtzjxhnyqh`, `pselzpyuvw`, `klygnthegv`, `zrpfdjvjdx`, `ovewsjzufq`, `Select Mode`, `Delivery Type`). Where primary data is unavailable or insufficient, secondary data (e.g., industry averages, proxy data) is used with appropriate emission factors from recognized databases (e.g., Ecoinvent/DEFRA). The accuracy of the PCF is directly linked to the quality and granularity of the input data. Further primary data collection for key hotspots would enhance the precision of this analysis.</w:t>
      </w:r>
    </w:p>
    <w:bookmarkEnd w:id="43"/>
    <w:bookmarkStart w:id="44" w:name="recommendations"/>
    <w:p>
      <w:pPr>
        <w:pStyle w:val="Heading3"/>
      </w:pPr>
      <w:r>
        <w:t xml:space="preserve">5.3. Recommendations</w:t>
      </w:r>
    </w:p>
    <w:p>
      <w:pPr>
        <w:pStyle w:val="FirstParagraph"/>
      </w:pPr>
      <w:r>
        <w:t xml:space="preserve">To reduce the carbon footprint of `iphtzffzzp`, `zdemytgrlq` should consider:</w:t>
      </w:r>
    </w:p>
    <w:p>
      <w:pPr>
        <w:numPr>
          <w:ilvl w:val="0"/>
          <w:numId w:val="1012"/>
        </w:numPr>
        <w:pStyle w:val="Compact"/>
      </w:pPr>
      <w:r>
        <w:rPr>
          <w:bCs/>
          <w:b/>
        </w:rPr>
        <w:t xml:space="preserve">Material Optimization:</w:t>
      </w:r>
      <w:r>
        <w:t xml:space="preserve"> </w:t>
      </w:r>
      <w:r>
        <w:t xml:space="preserve">Explore alternative, lower-impact materials or design changes to reduce the quantity and impact of high-carbon components identified from the BOM (`omdrqqot`).</w:t>
      </w:r>
    </w:p>
    <w:p>
      <w:pPr>
        <w:numPr>
          <w:ilvl w:val="0"/>
          <w:numId w:val="1012"/>
        </w:numPr>
        <w:pStyle w:val="Compact"/>
      </w:pPr>
      <w:r>
        <w:rPr>
          <w:bCs/>
          <w:b/>
        </w:rPr>
        <w:t xml:space="preserve">Renewable Energy Transition:</w:t>
      </w:r>
      <w:r>
        <w:t xml:space="preserve"> </w:t>
      </w:r>
      <w:r>
        <w:t xml:space="preserve">Increase the percentage of renewable energy usage (`pjmrgzjjki`) in manufacturing operations in China to significantly reduce Scope 2 emissions.</w:t>
      </w:r>
    </w:p>
    <w:p>
      <w:pPr>
        <w:numPr>
          <w:ilvl w:val="0"/>
          <w:numId w:val="1012"/>
        </w:numPr>
        <w:pStyle w:val="Compact"/>
      </w:pPr>
      <w:r>
        <w:rPr>
          <w:bCs/>
          <w:b/>
        </w:rPr>
        <w:t xml:space="preserve">Logistics Efficiency:</w:t>
      </w:r>
      <w:r>
        <w:t xml:space="preserve"> </w:t>
      </w:r>
      <w:r>
        <w:t xml:space="preserve">Optimize transport routes and modes (`Select Mode`, `dixxkrvnxy`, `Delivery Type`) to reduce emissions from both inbound and outbound logistics, especially given the Europe-focused supply chain.</w:t>
      </w:r>
    </w:p>
    <w:p>
      <w:pPr>
        <w:numPr>
          <w:ilvl w:val="0"/>
          <w:numId w:val="1012"/>
        </w:numPr>
        <w:pStyle w:val="Compact"/>
      </w:pPr>
      <w:r>
        <w:rPr>
          <w:bCs/>
          <w:b/>
        </w:rPr>
        <w:t xml:space="preserve">Energy Efficiency in Use:</w:t>
      </w:r>
      <w:r>
        <w:t xml:space="preserve"> </w:t>
      </w:r>
      <w:r>
        <w:t xml:space="preserve">Design `iphtzffzzp` for lower energy consumption during its use phase (`klygnthegv`) and extend its lifespan (`pselzpyuvw`) to reduce lifecycle impacts.</w:t>
      </w:r>
    </w:p>
    <w:p>
      <w:pPr>
        <w:numPr>
          <w:ilvl w:val="0"/>
          <w:numId w:val="1012"/>
        </w:numPr>
        <w:pStyle w:val="Compact"/>
      </w:pPr>
      <w:r>
        <w:rPr>
          <w:bCs/>
          <w:b/>
        </w:rPr>
        <w:t xml:space="preserve">Circular Economy Integration:</w:t>
      </w:r>
      <w:r>
        <w:t xml:space="preserve"> </w:t>
      </w:r>
      <w:r>
        <w:t xml:space="preserve">Enhance recyclability (`zrpfdjvjdx`) and expand circular economy initiatives (`ovewsjzufq`) such as take-back schemes, repair services, or remanufacturing programs to minimize End-of-Life emissions and promote resource efficiency.</w:t>
      </w:r>
    </w:p>
    <w:p>
      <w:pPr>
        <w:numPr>
          <w:ilvl w:val="0"/>
          <w:numId w:val="1012"/>
        </w:numPr>
        <w:pStyle w:val="Compact"/>
      </w:pPr>
      <w:r>
        <w:rPr>
          <w:bCs/>
          <w:b/>
        </w:rPr>
        <w:t xml:space="preserve">Data Improvement:</w:t>
      </w:r>
      <w:r>
        <w:t xml:space="preserve"> </w:t>
      </w:r>
      <w:r>
        <w:t xml:space="preserve">Implement systems to collect more primary data across the value chain to improve the accuracy of future PCF analyses and achieve higher Scope 3 data disaggregation as per 2026 GHG Protocol requirements.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iphtzffzzp</dc:title>
  <dc:creator/>
  <dc:description>High-detail Product Carbon Footprint (PCF) analysis for iphtzffzzp by zdemytgrlq, adhering to GHG Protocol and 2026 updates.</dc:description>
  <dc:language>en</dc:language>
  <cp:keywords/>
  <dcterms:created xsi:type="dcterms:W3CDTF">2026-05-30T10:33:57Z</dcterms:created>
  <dcterms:modified xsi:type="dcterms:W3CDTF">2026-05-30T10:33:57Z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