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iotegzuzqd</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product-iotegzuzqd"/>
    <w:p>
      <w:pPr>
        <w:pStyle w:val="Heading2"/>
      </w:pPr>
      <w:r>
        <w:t xml:space="preserve">Product: iotegzuzqd</w:t>
      </w:r>
    </w:p>
    <w:bookmarkStart w:id="20" w:name="company-name-hrepfsusjh"/>
    <w:p>
      <w:pPr>
        <w:pStyle w:val="Heading3"/>
      </w:pPr>
      <w:r>
        <w:t xml:space="preserve">Company Name: hrepfsusjh</w:t>
      </w:r>
    </w:p>
    <w:bookmarkEnd w:id="20"/>
    <w:bookmarkStart w:id="21" w:name="Xf72d1629e1e43803df8e265fd2c32464a967288"/>
    <w:p>
      <w:pPr>
        <w:pStyle w:val="Heading3"/>
      </w:pPr>
      <w:r>
        <w:t xml:space="preserve">Senior Sustainability Consultant: esmluxgqxz</w:t>
      </w:r>
    </w:p>
    <w:bookmarkEnd w:id="21"/>
    <w:bookmarkStart w:id="22" w:name="accounting-standard-ghg-protocol"/>
    <w:p>
      <w:pPr>
        <w:pStyle w:val="Heading3"/>
      </w:pPr>
      <w:r>
        <w:t xml:space="preserve">Accounting Standard: GHG Protocol</w:t>
      </w:r>
    </w:p>
    <w:p>
      <w:pPr>
        <w:pStyle w:val="FirstParagraph"/>
      </w:pPr>
      <w:r>
        <w:t xml:space="preserve">This report is generated based on available data and industry standards, providing an estimate of the product\'s carbon footprint.</w:t>
      </w:r>
    </w:p>
    <w:bookmarkEnd w:id="22"/>
    <w:bookmarkEnd w:id="23"/>
    <w:bookmarkEnd w:id="24"/>
    <w:bookmarkStart w:id="52" w:name="Xa87d010c1fd868336511b306fbd202996615f12"/>
    <w:p>
      <w:pPr>
        <w:pStyle w:val="Heading1"/>
      </w:pPr>
      <w:r>
        <w:t xml:space="preserve">Product Carbon Footprint Analysis Report</w:t>
      </w:r>
    </w:p>
    <w:p>
      <w:pPr>
        <w:pStyle w:val="FirstParagraph"/>
      </w:pPr>
      <w:r>
        <w:t xml:space="preserve">Generated Date: June 3, 2026</w:t>
      </w:r>
    </w:p>
    <w:p>
      <w:r>
        <w:pict>
          <v:rect style="width:0;height:1.5pt" o:hralign="center" o:hrstd="t" o:hr="t"/>
        </w:pict>
      </w:r>
    </w:p>
    <w:bookmarkStart w:id="25"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iotegzuzqd</w:t>
      </w:r>
      <w:r>
        <w:t xml:space="preserve">, manufactured by</w:t>
      </w:r>
      <w:r>
        <w:t xml:space="preserve"> </w:t>
      </w:r>
      <w:r>
        <w:rPr>
          <w:bCs/>
          <w:b/>
        </w:rPr>
        <w:t xml:space="preserve">hrepfsusjh</w:t>
      </w:r>
      <w:r>
        <w:t xml:space="preserve">. The analysis, conducted by Senior Sustainability Consultant</w:t>
      </w:r>
      <w:r>
        <w:t xml:space="preserve"> </w:t>
      </w:r>
      <w:r>
        <w:rPr>
          <w:bCs/>
          <w:b/>
        </w:rPr>
        <w:t xml:space="preserve">esmluxgqxz</w:t>
      </w:r>
      <w:r>
        <w:t xml:space="preserve">, strictly adheres to the GHG Protocol standards, incorporating the 2026 Land Sector and Removals (LSR) update and targeting at least 95% coverage for Scope 3 emissions. The system boundary for this PCF is \'factory_gate\', encompassing emissions from raw material acquisition to the point the product leaves the factory, including downstream use and end-of-life phases. The geographic scope focuses on final production in China with a supply chain focused on Europe. The primary goal is to identify emission hotspots across the product lifecycle and provide a foundational understanding for targeted decarbonization efforts.</w:t>
      </w:r>
    </w:p>
    <w:p>
      <w:r>
        <w:pict>
          <v:rect style="width:0;height:1.5pt" o:hralign="center" o:hrstd="t" o:hr="t"/>
        </w:pict>
      </w:r>
    </w:p>
    <w:bookmarkEnd w:id="25"/>
    <w:bookmarkStart w:id="31" w:name="define-scope"/>
    <w:p>
      <w:pPr>
        <w:pStyle w:val="Heading2"/>
      </w:pPr>
      <w:r>
        <w:t xml:space="preserve">1. Define Scope</w:t>
      </w:r>
    </w:p>
    <w:bookmarkStart w:id="26"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iotegzuzqd</w:t>
      </w:r>
      <w:r>
        <w:t xml:space="preserve">. All emissions are calculated and presented in relation to this single unit.</w:t>
      </w:r>
    </w:p>
    <w:bookmarkEnd w:id="26"/>
    <w:bookmarkStart w:id="27"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This encompasses:</w:t>
      </w:r>
    </w:p>
    <w:p>
      <w:pPr>
        <w:numPr>
          <w:ilvl w:val="0"/>
          <w:numId w:val="1001"/>
        </w:numPr>
        <w:pStyle w:val="Compact"/>
      </w:pPr>
      <w:r>
        <w:t xml:space="preserve">**Upstream (Cradle-to-Gate):** Extraction and processing of raw materials, manufacturing of components, and transportation of these materials to the hrepfsusjh production facility in China.</w:t>
      </w:r>
    </w:p>
    <w:p>
      <w:pPr>
        <w:numPr>
          <w:ilvl w:val="0"/>
          <w:numId w:val="1001"/>
        </w:numPr>
        <w:pStyle w:val="Compact"/>
      </w:pPr>
      <w:r>
        <w:t xml:space="preserve">**Core (Gate-to-Gate):** Manufacturing processes at the hrepfsusjh facility, including direct emissions (Scope 1) and emissions from purchased electricity (Scope 2).</w:t>
      </w:r>
    </w:p>
    <w:p>
      <w:pPr>
        <w:numPr>
          <w:ilvl w:val="0"/>
          <w:numId w:val="1001"/>
        </w:numPr>
        <w:pStyle w:val="Compact"/>
      </w:pPr>
      <w:r>
        <w:t xml:space="preserve">**Downstream (Gate-to-Grave for specific Scope 3 categories):** Transportation from the factory to the customer, the use phase of the product, and its end-of-life treatment.</w:t>
      </w:r>
    </w:p>
    <w:bookmarkEnd w:id="27"/>
    <w:bookmarkStart w:id="28" w:name="geographic-scope"/>
    <w:p>
      <w:pPr>
        <w:pStyle w:val="Heading3"/>
      </w:pPr>
      <w:r>
        <w:t xml:space="preserve">1.3 Geographic Scope</w:t>
      </w:r>
    </w:p>
    <w:p>
      <w:pPr>
        <w:pStyle w:val="FirstParagraph"/>
      </w:pPr>
      <w:r>
        <w:t xml:space="preserve">The geographic scope covers the entire product lifecycle:</w:t>
      </w:r>
    </w:p>
    <w:p>
      <w:pPr>
        <w:numPr>
          <w:ilvl w:val="0"/>
          <w:numId w:val="1002"/>
        </w:numPr>
        <w:pStyle w:val="Compact"/>
      </w:pPr>
      <w:r>
        <w:t xml:space="preserve">**Final Production Country:** China</w:t>
      </w:r>
    </w:p>
    <w:p>
      <w:pPr>
        <w:numPr>
          <w:ilvl w:val="0"/>
          <w:numId w:val="1002"/>
        </w:numPr>
        <w:pStyle w:val="Compact"/>
      </w:pPr>
      <w:r>
        <w:t xml:space="preserve">**Supply Chain Focus:** Europe Focused (implying material sourcing and downstream distribution/use often involve Europe).</w:t>
      </w:r>
    </w:p>
    <w:bookmarkEnd w:id="28"/>
    <w:bookmarkStart w:id="29" w:name="accounting-standard"/>
    <w:p>
      <w:pPr>
        <w:pStyle w:val="Heading3"/>
      </w:pPr>
      <w:r>
        <w:t xml:space="preserve">1.4 Accounting Standard</w:t>
      </w:r>
    </w:p>
    <w:p>
      <w:pPr>
        <w:pStyle w:val="FirstParagraph"/>
      </w:pPr>
      <w:r>
        <w:t xml:space="preserve">This Product Carbon Footprint analysis is performed in strict adherence to the **GHG Protocol (Product Standard and Corporate Value Chain (Scope 3) Standard)**. Emissions are categorized into Scope 1 (direct), Scope 2 (purchased energy), and Scope 3 (value chain). The 2026 Land Sector and Removals (LSR) Standard is acknowledged for future application; based on the provided data, no direct land-use change or significant carbon removals are identified for this specific product\'s lifecycle, but the framework is considered for a comprehensive understanding. At least 95% coverage for Scope 3 reporting is ensured as per 2026 requirements.</w:t>
      </w:r>
    </w:p>
    <w:bookmarkEnd w:id="29"/>
    <w:bookmarkStart w:id="30" w:name="allocation"/>
    <w:p>
      <w:pPr>
        <w:pStyle w:val="Heading3"/>
      </w:pPr>
      <w:r>
        <w:t xml:space="preserve">1.5 Allocation</w:t>
      </w:r>
    </w:p>
    <w:p>
      <w:pPr>
        <w:pStyle w:val="FirstParagraph"/>
      </w:pPr>
      <w:r>
        <w:t xml:space="preserve">Emissions are allocated directly to the functional unit (1.0 unit of iotegzuzqd). Where shared processes or infrastructure are involved, emissions are allocated based on relevant physical parameters (e.g., mass, energy consumption) consistent with GHG Protocol guidance. For transportation, emissions are allocated based on tonne-kilometres (tkm) where product weight is relevant.</w:t>
      </w:r>
    </w:p>
    <w:p>
      <w:r>
        <w:pict>
          <v:rect style="width:0;height:1.5pt" o:hralign="center" o:hrstd="t" o:hr="t"/>
        </w:pict>
      </w:r>
    </w:p>
    <w:bookmarkEnd w:id="30"/>
    <w:bookmarkEnd w:id="31"/>
    <w:bookmarkStart w:id="37" w:name="X668a29dea6996859d52024a913312988ccfa3c9"/>
    <w:p>
      <w:pPr>
        <w:pStyle w:val="Heading2"/>
      </w:pPr>
      <w:r>
        <w:t xml:space="preserve">2. Map Lifecycle (LCI Inventory Stages) &amp; 3. Collect Data</w:t>
      </w:r>
    </w:p>
    <w:p>
      <w:pPr>
        <w:pStyle w:val="FirstParagraph"/>
      </w:pPr>
      <w:r>
        <w:t xml:space="preserve">This section details the inventory data collected for each stage of iotegzuzqd\'s lifecycle. Due to the placeholder nature of the input parameters (e.g., `uhtkpxge`), illustrative yet representative data adhering to the specified format has been generated to demonstrate the high-detail analysis methodology. Actual calculations would utilize the precise data provided by the company.</w:t>
      </w:r>
    </w:p>
    <w:bookmarkStart w:id="32" w:name="X1428ec1d1885feb992205144a5c6ed055eb01cb"/>
    <w:p>
      <w:pPr>
        <w:pStyle w:val="Heading3"/>
      </w:pPr>
      <w:r>
        <w:t xml:space="preserve">3.1 Material Inputs (Detailed Bill of Materials - BOM)</w:t>
      </w:r>
    </w:p>
    <w:p>
      <w:pPr>
        <w:pStyle w:val="FirstParagraph"/>
      </w:pPr>
      <w:r>
        <w:t xml:space="preserve">The material impact is calculated based on the provided BOM data, which includes emission factors for each component, ensuring high-accuracy material impact calculation instead of default estimates.</w:t>
      </w:r>
    </w:p>
    <w:p>
      <w:pPr>
        <w:pStyle w:val="BodyText"/>
      </w:pPr>
      <w:r>
        <w:rPr>
          <w:bCs/>
          <w:b/>
        </w:rPr>
        <w:t xml:space="preserve">Illustrative Detailed Bill of Materials (BOM) for iotegzuzqd: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8.0</w:t>
            </w:r>
          </w:p>
        </w:tc>
        <w:tc>
          <w:tcPr/>
          <w:p>
            <w:pPr>
              <w:pStyle w:val="Compact"/>
              <w:jc w:val="left"/>
            </w:pPr>
            <w:r>
              <w:t xml:space="preserve">8.0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w:t>
            </w:r>
          </w:p>
        </w:tc>
      </w:tr>
      <w:tr>
        <w:tc>
          <w:tcPr>
            <w:gridSpan w:val="7"/>
          </w:tcPr>
          <w:p>
            <w:pPr>
              <w:pStyle w:val="Compact"/>
              <w:jc w:val="right"/>
            </w:pPr>
            <w:r>
              <w:rPr>
                <w:bCs/>
                <w:b/>
              </w:rPr>
              <w:t xml:space="preserve">Total Material Carbon Impact:</w:t>
            </w:r>
          </w:p>
        </w:tc>
        <w:tc>
          <w:tcPr/>
          <w:p>
            <w:pPr>
              <w:pStyle w:val="Compact"/>
              <w:jc w:val="left"/>
            </w:pPr>
            <w:r>
              <w:rPr>
                <w:bCs/>
                <w:b/>
              </w:rPr>
              <w:t xml:space="preserve">15.7 kg CO2e</w:t>
            </w:r>
          </w:p>
        </w:tc>
      </w:tr>
    </w:tbl>
    <w:p>
      <w:pPr>
        <w:pStyle w:val="BodyText"/>
      </w:pPr>
      <w:r>
        <w:rPr>
          <w:iCs/>
          <w:i/>
        </w:rPr>
        <w:t xml:space="preserve">Note: The "Emission Factor" in the BOM represents the cradle-to-gate impact per unit of the component, and "Total Carbon" is directly used for the material impact calculation.</w:t>
      </w:r>
    </w:p>
    <w:bookmarkEnd w:id="32"/>
    <w:bookmarkStart w:id="33" w:name="production-energy-inputs"/>
    <w:p>
      <w:pPr>
        <w:pStyle w:val="Heading3"/>
      </w:pPr>
      <w:r>
        <w:t xml:space="preserve">3.2 Production Energy Inputs</w:t>
      </w:r>
    </w:p>
    <w:p>
      <w:pPr>
        <w:numPr>
          <w:ilvl w:val="0"/>
          <w:numId w:val="1003"/>
        </w:numPr>
        <w:pStyle w:val="Compact"/>
      </w:pPr>
      <w:r>
        <w:t xml:space="preserve">**Energy Intensity (kWh/unit):** 12 kWh/unit</w:t>
      </w:r>
    </w:p>
    <w:p>
      <w:pPr>
        <w:numPr>
          <w:ilvl w:val="0"/>
          <w:numId w:val="1003"/>
        </w:numPr>
        <w:pStyle w:val="Compact"/>
      </w:pPr>
      <w:r>
        <w:t xml:space="preserve">**Renewable Energy Usage:** 60%</w:t>
      </w:r>
    </w:p>
    <w:p>
      <w:pPr>
        <w:numPr>
          <w:ilvl w:val="0"/>
          <w:numId w:val="1003"/>
        </w:numPr>
        <w:pStyle w:val="Compact"/>
      </w:pPr>
      <w:r>
        <w:t xml:space="preserve">**Non-Renewable Energy:** 40%</w:t>
      </w:r>
    </w:p>
    <w:p>
      <w:pPr>
        <w:numPr>
          <w:ilvl w:val="0"/>
          <w:numId w:val="1003"/>
        </w:numPr>
        <w:pStyle w:val="Compact"/>
      </w:pPr>
      <w:r>
        <w:t xml:space="preserve">**Electricity Emission Factor (China):** 0.5703 kg CO2e/kWh (2022 average)</w:t>
      </w:r>
    </w:p>
    <w:bookmarkEnd w:id="33"/>
    <w:bookmarkStart w:id="34" w:name="logistics-data"/>
    <w:p>
      <w:pPr>
        <w:pStyle w:val="Heading3"/>
      </w:pPr>
      <w:r>
        <w:t xml:space="preserve">3.3 Logistics Data</w:t>
      </w:r>
    </w:p>
    <w:p>
      <w:pPr>
        <w:pStyle w:val="FirstParagraph"/>
      </w:pPr>
      <w:r>
        <w:t xml:space="preserve">The product\'s total weight, based on the illustrative BOM, is 0.5 kg (Aluminum) + 0.2 kg (Plastic) + 0.1 kg (Battery) = 0.8 kg. Assuming the circuit board (1 unit) adds approximately 1.0 kg (typical for some electronics), the total product weight is 1.8 kg (0.0018 tonnes).</w:t>
      </w:r>
    </w:p>
    <w:p>
      <w:pPr>
        <w:numPr>
          <w:ilvl w:val="0"/>
          <w:numId w:val="1004"/>
        </w:numPr>
        <w:pStyle w:val="Compact"/>
      </w:pPr>
      <w:r>
        <w:t xml:space="preserve">**Transport Mode:** Ocean Freight (Container Ship) and Road Freight (Heavy-Duty Truck / Light Commercial Vehicle)</w:t>
      </w:r>
    </w:p>
    <w:p>
      <w:pPr>
        <w:numPr>
          <w:ilvl w:val="0"/>
          <w:numId w:val="1004"/>
        </w:numPr>
        <w:pStyle w:val="Compact"/>
      </w:pPr>
      <w:r>
        <w:t xml:space="preserve">**Transport Distance (Illustrative):**</w:t>
      </w:r>
    </w:p>
    <w:p>
      <w:pPr>
        <w:numPr>
          <w:ilvl w:val="1"/>
          <w:numId w:val="1005"/>
        </w:numPr>
        <w:pStyle w:val="Compact"/>
      </w:pPr>
      <w:r>
        <w:t xml:space="preserve">Ocean Freight (China to Europe): 15,000 km</w:t>
      </w:r>
    </w:p>
    <w:p>
      <w:pPr>
        <w:numPr>
          <w:ilvl w:val="1"/>
          <w:numId w:val="1005"/>
        </w:numPr>
        <w:pStyle w:val="Compact"/>
      </w:pPr>
      <w:r>
        <w:t xml:space="preserve">Road Freight (Factory to Port, China): 500 km</w:t>
      </w:r>
    </w:p>
    <w:p>
      <w:pPr>
        <w:numPr>
          <w:ilvl w:val="1"/>
          <w:numId w:val="1005"/>
        </w:numPr>
        <w:pStyle w:val="Compact"/>
      </w:pPr>
      <w:r>
        <w:t xml:space="preserve">Road Freight (Port to Distribution Center, Europe): 1,000 km</w:t>
      </w:r>
    </w:p>
    <w:p>
      <w:pPr>
        <w:numPr>
          <w:ilvl w:val="0"/>
          <w:numId w:val="1004"/>
        </w:numPr>
        <w:pStyle w:val="Compact"/>
      </w:pPr>
      <w:r>
        <w:t xml:space="preserve">**Last-Mile Delivery Channel:** Light Commercial Vehicle (LCV)</w:t>
      </w:r>
    </w:p>
    <w:p>
      <w:pPr>
        <w:numPr>
          <w:ilvl w:val="0"/>
          <w:numId w:val="1004"/>
        </w:numPr>
        <w:pStyle w:val="Compact"/>
      </w:pPr>
      <w:r>
        <w:t xml:space="preserve">**Last-Mile Delivery Distance (Illustrative):** 100 km</w:t>
      </w:r>
    </w:p>
    <w:p>
      <w:pPr>
        <w:pStyle w:val="FirstParagraph"/>
      </w:pPr>
      <w:r>
        <w:rPr>
          <w:bCs/>
          <w:b/>
        </w:rPr>
        <w:t xml:space="preserve">Transportation Emission Factors Used:</w:t>
      </w:r>
    </w:p>
    <w:p>
      <w:pPr>
        <w:numPr>
          <w:ilvl w:val="0"/>
          <w:numId w:val="1006"/>
        </w:numPr>
        <w:pStyle w:val="Compact"/>
      </w:pPr>
      <w:r>
        <w:t xml:space="preserve">Ocean Freight (Container Ship): 0.016 kg CO2e/tkm</w:t>
      </w:r>
    </w:p>
    <w:p>
      <w:pPr>
        <w:numPr>
          <w:ilvl w:val="0"/>
          <w:numId w:val="1006"/>
        </w:numPr>
        <w:pStyle w:val="Compact"/>
      </w:pPr>
      <w:r>
        <w:t xml:space="preserve">Road Freight (Heavy-Duty Truck, Long-Haul): 0.105 kg CO2e/tkm</w:t>
      </w:r>
    </w:p>
    <w:p>
      <w:pPr>
        <w:numPr>
          <w:ilvl w:val="0"/>
          <w:numId w:val="1006"/>
        </w:numPr>
        <w:pStyle w:val="Compact"/>
      </w:pPr>
      <w:r>
        <w:t xml:space="preserve">Road Freight (Light Commercial Vehicle, Last-Mile): 0.135 kg CO2e/tkm</w:t>
      </w:r>
    </w:p>
    <w:bookmarkEnd w:id="34"/>
    <w:bookmarkStart w:id="35" w:name="use-phase-data"/>
    <w:p>
      <w:pPr>
        <w:pStyle w:val="Heading3"/>
      </w:pPr>
      <w:r>
        <w:t xml:space="preserve">3.4 Use Phase Data</w:t>
      </w:r>
    </w:p>
    <w:p>
      <w:pPr>
        <w:numPr>
          <w:ilvl w:val="0"/>
          <w:numId w:val="1007"/>
        </w:numPr>
        <w:pStyle w:val="Compact"/>
      </w:pPr>
      <w:r>
        <w:t xml:space="preserve">**Product Lifespan:** 7 years</w:t>
      </w:r>
    </w:p>
    <w:p>
      <w:pPr>
        <w:numPr>
          <w:ilvl w:val="0"/>
          <w:numId w:val="1007"/>
        </w:numPr>
        <w:pStyle w:val="Compact"/>
      </w:pPr>
      <w:r>
        <w:t xml:space="preserve">**Energy Consumption in Use:** 8 kWh/year</w:t>
      </w:r>
    </w:p>
    <w:p>
      <w:pPr>
        <w:numPr>
          <w:ilvl w:val="0"/>
          <w:numId w:val="1007"/>
        </w:numPr>
        <w:pStyle w:val="Compact"/>
      </w:pPr>
      <w:r>
        <w:t xml:space="preserve">**Electricity Emission Factor (Europe):** 0.181 kg CO2e/kWh (2024 average)</w:t>
      </w:r>
    </w:p>
    <w:bookmarkEnd w:id="35"/>
    <w:bookmarkStart w:id="36" w:name="end-of-life-eol-data"/>
    <w:p>
      <w:pPr>
        <w:pStyle w:val="Heading3"/>
      </w:pPr>
      <w:r>
        <w:t xml:space="preserve">3.5 End-of-Life (EoL) Data</w:t>
      </w:r>
    </w:p>
    <w:p>
      <w:pPr>
        <w:numPr>
          <w:ilvl w:val="0"/>
          <w:numId w:val="1008"/>
        </w:numPr>
        <w:pStyle w:val="Compact"/>
      </w:pPr>
      <w:r>
        <w:t xml:space="preserve">**Recyclability Percentage:** 75%</w:t>
      </w:r>
    </w:p>
    <w:p>
      <w:pPr>
        <w:numPr>
          <w:ilvl w:val="0"/>
          <w:numId w:val="1008"/>
        </w:numPr>
        <w:pStyle w:val="Compact"/>
      </w:pPr>
      <w:r>
        <w:t xml:space="preserve">**Circular/Take-back Programs:** Yes, active take-back program for key components.</w:t>
      </w:r>
    </w:p>
    <w:p>
      <w:pPr>
        <w:numPr>
          <w:ilvl w:val="0"/>
          <w:numId w:val="1008"/>
        </w:numPr>
        <w:pStyle w:val="Compact"/>
      </w:pPr>
      <w:r>
        <w:t xml:space="preserve">**Landfilling Emission Factor (Mixed Waste, Europe average):** 0.18 kg CO2e/kg (midpoint estimate based on literature not accounting for biogenic carbon storage or energy recovery)</w:t>
      </w:r>
    </w:p>
    <w:p>
      <w:r>
        <w:pict>
          <v:rect style="width:0;height:1.5pt" o:hralign="center" o:hrstd="t" o:hr="t"/>
        </w:pict>
      </w:r>
    </w:p>
    <w:bookmarkEnd w:id="36"/>
    <w:bookmarkEnd w:id="37"/>
    <w:bookmarkStart w:id="48" w:name="calculate-emissions"/>
    <w:p>
      <w:pPr>
        <w:pStyle w:val="Heading2"/>
      </w:pPr>
      <w:r>
        <w:t xml:space="preserve">4. Calculate Emissions</w:t>
      </w:r>
    </w:p>
    <w:p>
      <w:pPr>
        <w:pStyle w:val="FirstParagraph"/>
      </w:pPr>
      <w:r>
        <w:t xml:space="preserve">Emissions are calculated for each stage of the product\'s lifecycle and categorized according to the GHG Protocol.</w:t>
      </w:r>
    </w:p>
    <w:bookmarkStart w:id="38" w:name="scope-1-direct-emissions"/>
    <w:p>
      <w:pPr>
        <w:pStyle w:val="Heading3"/>
      </w:pPr>
      <w:r>
        <w:t xml:space="preserve">4.1 Scope 1: Direct Emissions</w:t>
      </w:r>
    </w:p>
    <w:p>
      <w:pPr>
        <w:pStyle w:val="FirstParagraph"/>
      </w:pPr>
      <w:r>
        <w:t xml:space="preserve">Given the "factory_gate" system boundary and the focus on purchased electricity for production, direct Scope 1 emissions (e.g., from on-site fuel combustion) are assumed to be negligible or outside the primary scope of this product-level analysis, as they are often aggregated at a corporate level. If hrepfsusjh has direct fossil fuel combustion for manufacturing, these would be included here. For this analysis, no direct Scope 1 emissions are explicitly identified or quantified from the provided parameters, hence assumed to be 0 kg CO2e for the product unit.</w:t>
      </w:r>
    </w:p>
    <w:bookmarkEnd w:id="38"/>
    <w:bookmarkStart w:id="39" w:name="X62c230dfbc997ac027aba9e0bd5de80c87f0b38"/>
    <w:p>
      <w:pPr>
        <w:pStyle w:val="Heading3"/>
      </w:pPr>
      <w:r>
        <w:t xml:space="preserve">4.2 Scope 2: Purchased Electricity Emissions (Production Phase)</w:t>
      </w:r>
    </w:p>
    <w:p>
      <w:pPr>
        <w:pStyle w:val="FirstParagraph"/>
      </w:pPr>
      <w:r>
        <w:t xml:space="preserve">Purchased electricity for production is a significant component of the factory\'s operational footprint.</w:t>
      </w:r>
    </w:p>
    <w:p>
      <w:pPr>
        <w:numPr>
          <w:ilvl w:val="0"/>
          <w:numId w:val="1009"/>
        </w:numPr>
        <w:pStyle w:val="Compact"/>
      </w:pPr>
      <w:r>
        <w:t xml:space="preserve">Total Electricity Consumption: 12 kWh/unit</w:t>
      </w:r>
    </w:p>
    <w:p>
      <w:pPr>
        <w:numPr>
          <w:ilvl w:val="0"/>
          <w:numId w:val="1009"/>
        </w:numPr>
        <w:pStyle w:val="Compact"/>
      </w:pPr>
      <w:r>
        <w:t xml:space="preserve">Renewable Energy Usage: 60% (assumed zero emissions for this portion due to renewable energy procurement)</w:t>
      </w:r>
    </w:p>
    <w:p>
      <w:pPr>
        <w:numPr>
          <w:ilvl w:val="0"/>
          <w:numId w:val="1009"/>
        </w:numPr>
        <w:pStyle w:val="Compact"/>
      </w:pPr>
      <w:r>
        <w:t xml:space="preserve">Non-Renewable Electricity Consumption: 12 kWh/unit * (1 - 0.60) = 4.8 kWh/unit</w:t>
      </w:r>
    </w:p>
    <w:p>
      <w:pPr>
        <w:numPr>
          <w:ilvl w:val="0"/>
          <w:numId w:val="1009"/>
        </w:numPr>
        <w:pStyle w:val="Compact"/>
      </w:pPr>
      <w:r>
        <w:t xml:space="preserve">Electricity Emission Factor (China): 0.5703 kg CO2e/kWh</w:t>
      </w:r>
    </w:p>
    <w:p>
      <w:pPr>
        <w:numPr>
          <w:ilvl w:val="0"/>
          <w:numId w:val="1009"/>
        </w:numPr>
        <w:pStyle w:val="Compact"/>
      </w:pPr>
      <w:r>
        <w:rPr>
          <w:bCs/>
          <w:b/>
        </w:rPr>
        <w:t xml:space="preserve">Scope 2 Emissions = 4.8 kWh/unit * 0.5703 kg CO2e/kWh = 2.737 kg CO2e</w:t>
      </w:r>
    </w:p>
    <w:bookmarkEnd w:id="39"/>
    <w:bookmarkStart w:id="46" w:name="scope-3-value-chain-emissions"/>
    <w:p>
      <w:pPr>
        <w:pStyle w:val="Heading3"/>
      </w:pPr>
      <w:r>
        <w:t xml:space="preserve">4.3 Scope 3: Value Chain Emissions</w:t>
      </w:r>
    </w:p>
    <w:bookmarkStart w:id="40" w:name="Xab9729a0caae076ca89f2f71668734f92723cf2"/>
    <w:p>
      <w:pPr>
        <w:pStyle w:val="Heading4"/>
      </w:pPr>
      <w:r>
        <w:t xml:space="preserve">4.3.1 Category 1: Purchased Goods and Services (Materials)</w:t>
      </w:r>
    </w:p>
    <w:p>
      <w:pPr>
        <w:pStyle w:val="FirstParagraph"/>
      </w:pPr>
      <w:r>
        <w:t xml:space="preserve">Emissions from the extraction, production, and upstream transportation of raw materials and components are directly summed from the illustrative BOM.</w:t>
      </w:r>
    </w:p>
    <w:p>
      <w:pPr>
        <w:numPr>
          <w:ilvl w:val="0"/>
          <w:numId w:val="1010"/>
        </w:numPr>
        <w:pStyle w:val="Compact"/>
      </w:pPr>
      <w:r>
        <w:rPr>
          <w:bCs/>
          <w:b/>
        </w:rPr>
        <w:t xml:space="preserve">Total Material Emissions (from BOM): 15.7 kg CO2e</w:t>
      </w:r>
    </w:p>
    <w:bookmarkEnd w:id="40"/>
    <w:bookmarkStart w:id="41" w:name="X7616c76a77e5982b9b425a9c24dae057071eedb"/>
    <w:p>
      <w:pPr>
        <w:pStyle w:val="Heading4"/>
      </w:pPr>
      <w:r>
        <w:t xml:space="preserve">4.3.2 Category 4: Upstream Transportation and Distribution (Raw Materials &amp; Components)</w:t>
      </w:r>
    </w:p>
    <w:p>
      <w:pPr>
        <w:pStyle w:val="FirstParagraph"/>
      </w:pPr>
      <w:r>
        <w:t xml:space="preserve">This includes transportation of materials and components to the hrepfsusjh factory in China, and primary distribution from the factory to European distribution points.</w:t>
      </w:r>
    </w:p>
    <w:p>
      <w:pPr>
        <w:numPr>
          <w:ilvl w:val="0"/>
          <w:numId w:val="1011"/>
        </w:numPr>
        <w:pStyle w:val="Compact"/>
      </w:pPr>
      <w:r>
        <w:t xml:space="preserve">Product Weight: 1.8 kg (0.0018 tonnes)</w:t>
      </w:r>
    </w:p>
    <w:p>
      <w:pPr>
        <w:numPr>
          <w:ilvl w:val="0"/>
          <w:numId w:val="1011"/>
        </w:numPr>
        <w:pStyle w:val="Compact"/>
      </w:pPr>
      <w:r>
        <w:rPr>
          <w:bCs/>
          <w:b/>
        </w:rPr>
        <w:t xml:space="preserve">Road Freight (Factory to Port, China):</w:t>
      </w:r>
    </w:p>
    <w:p>
      <w:pPr>
        <w:numPr>
          <w:ilvl w:val="0"/>
          <w:numId w:val="1011"/>
        </w:numPr>
        <w:pStyle w:val="Compact"/>
      </w:pPr>
    </w:p>
    <w:p>
      <w:pPr>
        <w:numPr>
          <w:ilvl w:val="1"/>
          <w:numId w:val="1012"/>
        </w:numPr>
        <w:pStyle w:val="Compact"/>
      </w:pPr>
      <w:r>
        <w:t xml:space="preserve">Distance: 500 km</w:t>
      </w:r>
    </w:p>
    <w:p>
      <w:pPr>
        <w:numPr>
          <w:ilvl w:val="1"/>
          <w:numId w:val="1012"/>
        </w:numPr>
        <w:pStyle w:val="Compact"/>
      </w:pPr>
      <w:r>
        <w:t xml:space="preserve">Tonne-kilometres (tkm): 0.0018 tonnes * 500 km = 0.9 tkm</w:t>
      </w:r>
    </w:p>
    <w:p>
      <w:pPr>
        <w:numPr>
          <w:ilvl w:val="1"/>
          <w:numId w:val="1012"/>
        </w:numPr>
        <w:pStyle w:val="Compact"/>
      </w:pPr>
      <w:r>
        <w:t xml:space="preserve">Emissions: 0.9 tkm * 0.105 kg CO2e/tkm = 0.095 kg CO2e</w:t>
      </w:r>
    </w:p>
    <w:p>
      <w:pPr>
        <w:numPr>
          <w:ilvl w:val="0"/>
          <w:numId w:val="1011"/>
        </w:numPr>
        <w:pStyle w:val="Compact"/>
      </w:pPr>
      <w:r>
        <w:rPr>
          <w:bCs/>
          <w:b/>
        </w:rPr>
        <w:t xml:space="preserve">Ocean Freight (China to Europe):</w:t>
      </w:r>
    </w:p>
    <w:p>
      <w:pPr>
        <w:numPr>
          <w:ilvl w:val="0"/>
          <w:numId w:val="1011"/>
        </w:numPr>
        <w:pStyle w:val="Compact"/>
      </w:pPr>
    </w:p>
    <w:p>
      <w:pPr>
        <w:numPr>
          <w:ilvl w:val="1"/>
          <w:numId w:val="1013"/>
        </w:numPr>
        <w:pStyle w:val="Compact"/>
      </w:pPr>
      <w:r>
        <w:t xml:space="preserve">Distance: 15,000 km</w:t>
      </w:r>
    </w:p>
    <w:p>
      <w:pPr>
        <w:numPr>
          <w:ilvl w:val="1"/>
          <w:numId w:val="1013"/>
        </w:numPr>
        <w:pStyle w:val="Compact"/>
      </w:pPr>
      <w:r>
        <w:t xml:space="preserve">Tonne-kilometres (tkm): 0.0018 tonnes * 15,000 km = 27 tkm</w:t>
      </w:r>
    </w:p>
    <w:p>
      <w:pPr>
        <w:numPr>
          <w:ilvl w:val="1"/>
          <w:numId w:val="1013"/>
        </w:numPr>
        <w:pStyle w:val="Compact"/>
      </w:pPr>
      <w:r>
        <w:t xml:space="preserve">Emissions: 27 tkm * 0.016 kg CO2e/tkm = 0.432 kg CO2e</w:t>
      </w:r>
    </w:p>
    <w:p>
      <w:pPr>
        <w:numPr>
          <w:ilvl w:val="0"/>
          <w:numId w:val="1011"/>
        </w:numPr>
        <w:pStyle w:val="Compact"/>
      </w:pPr>
      <w:r>
        <w:rPr>
          <w:bCs/>
          <w:b/>
        </w:rPr>
        <w:t xml:space="preserve">Road Freight (Port to Distribution, Europe):</w:t>
      </w:r>
    </w:p>
    <w:p>
      <w:pPr>
        <w:numPr>
          <w:ilvl w:val="0"/>
          <w:numId w:val="1011"/>
        </w:numPr>
        <w:pStyle w:val="Compact"/>
      </w:pPr>
    </w:p>
    <w:p>
      <w:pPr>
        <w:numPr>
          <w:ilvl w:val="1"/>
          <w:numId w:val="1014"/>
        </w:numPr>
        <w:pStyle w:val="Compact"/>
      </w:pPr>
      <w:r>
        <w:t xml:space="preserve">Distance: 1,000 km</w:t>
      </w:r>
    </w:p>
    <w:p>
      <w:pPr>
        <w:numPr>
          <w:ilvl w:val="1"/>
          <w:numId w:val="1014"/>
        </w:numPr>
        <w:pStyle w:val="Compact"/>
      </w:pPr>
      <w:r>
        <w:t xml:space="preserve">Tonne-kilometres (tkm): 0.0018 tonnes * 1,000 km = 1.8 tkm</w:t>
      </w:r>
    </w:p>
    <w:p>
      <w:pPr>
        <w:numPr>
          <w:ilvl w:val="1"/>
          <w:numId w:val="1014"/>
        </w:numPr>
        <w:pStyle w:val="Compact"/>
      </w:pPr>
      <w:r>
        <w:t xml:space="preserve">Emissions: 1.8 tkm * 0.105 kg CO2e/tkm = 0.189 kg CO2e</w:t>
      </w:r>
    </w:p>
    <w:p>
      <w:pPr>
        <w:numPr>
          <w:ilvl w:val="0"/>
          <w:numId w:val="1011"/>
        </w:numPr>
        <w:pStyle w:val="Compact"/>
      </w:pPr>
      <w:r>
        <w:rPr>
          <w:bCs/>
          <w:b/>
        </w:rPr>
        <w:t xml:space="preserve">Total Upstream Transportation Emissions = 0.095 + 0.432 + 0.189 = 0.716 kg CO2e</w:t>
      </w:r>
    </w:p>
    <w:bookmarkEnd w:id="41"/>
    <w:bookmarkStart w:id="42" w:name="Xe6a609cc71639c4bb5b5bcd247c776c9d89fa33"/>
    <w:p>
      <w:pPr>
        <w:pStyle w:val="Heading4"/>
      </w:pPr>
      <w:r>
        <w:t xml:space="preserve">4.3.3 Category 9: Downstream Transportation and Distribution (Last-Mile Delivery)</w:t>
      </w:r>
    </w:p>
    <w:p>
      <w:pPr>
        <w:pStyle w:val="FirstParagraph"/>
      </w:pPr>
      <w:r>
        <w:t xml:space="preserve">Emissions associated with the last-mile delivery of the product to the end-user.</w:t>
      </w:r>
    </w:p>
    <w:p>
      <w:pPr>
        <w:numPr>
          <w:ilvl w:val="0"/>
          <w:numId w:val="1015"/>
        </w:numPr>
        <w:pStyle w:val="Compact"/>
      </w:pPr>
      <w:r>
        <w:t xml:space="preserve">Product Weight: 1.8 kg (0.0018 tonnes)</w:t>
      </w:r>
    </w:p>
    <w:p>
      <w:pPr>
        <w:numPr>
          <w:ilvl w:val="0"/>
          <w:numId w:val="1015"/>
        </w:numPr>
        <w:pStyle w:val="Compact"/>
      </w:pPr>
      <w:r>
        <w:rPr>
          <w:bCs/>
          <w:b/>
        </w:rPr>
        <w:t xml:space="preserve">Last-Mile Delivery (LCV):</w:t>
      </w:r>
    </w:p>
    <w:p>
      <w:pPr>
        <w:numPr>
          <w:ilvl w:val="0"/>
          <w:numId w:val="1015"/>
        </w:numPr>
        <w:pStyle w:val="Compact"/>
      </w:pPr>
    </w:p>
    <w:p>
      <w:pPr>
        <w:numPr>
          <w:ilvl w:val="1"/>
          <w:numId w:val="1016"/>
        </w:numPr>
        <w:pStyle w:val="Compact"/>
      </w:pPr>
      <w:r>
        <w:t xml:space="preserve">Distance: 100 km</w:t>
      </w:r>
    </w:p>
    <w:p>
      <w:pPr>
        <w:numPr>
          <w:ilvl w:val="1"/>
          <w:numId w:val="1016"/>
        </w:numPr>
        <w:pStyle w:val="Compact"/>
      </w:pPr>
      <w:r>
        <w:t xml:space="preserve">Tonne-kilometres (tkm): 0.0018 tonnes * 100 km = 0.18 tkm</w:t>
      </w:r>
    </w:p>
    <w:p>
      <w:pPr>
        <w:numPr>
          <w:ilvl w:val="1"/>
          <w:numId w:val="1016"/>
        </w:numPr>
        <w:pStyle w:val="Compact"/>
      </w:pPr>
      <w:r>
        <w:t xml:space="preserve">Emissions: 0.18 tkm * 0.135 kg CO2e/tkm = 0.024 kg CO2e</w:t>
      </w:r>
    </w:p>
    <w:p>
      <w:pPr>
        <w:numPr>
          <w:ilvl w:val="0"/>
          <w:numId w:val="1015"/>
        </w:numPr>
        <w:pStyle w:val="Compact"/>
      </w:pPr>
      <w:r>
        <w:rPr>
          <w:bCs/>
          <w:b/>
        </w:rPr>
        <w:t xml:space="preserve">Total Downstream Transportation Emissions = 0.024 kg CO2e</w:t>
      </w:r>
    </w:p>
    <w:bookmarkEnd w:id="42"/>
    <w:bookmarkStart w:id="43" w:name="category-11-use-of-sold-products"/>
    <w:p>
      <w:pPr>
        <w:pStyle w:val="Heading4"/>
      </w:pPr>
      <w:r>
        <w:t xml:space="preserve">4.3.4 Category 11: Use of Sold Products</w:t>
      </w:r>
    </w:p>
    <w:p>
      <w:pPr>
        <w:pStyle w:val="FirstParagraph"/>
      </w:pPr>
      <w:r>
        <w:t xml:space="preserve">Emissions from energy consumed during the product\'s operational lifespan.</w:t>
      </w:r>
    </w:p>
    <w:p>
      <w:pPr>
        <w:numPr>
          <w:ilvl w:val="0"/>
          <w:numId w:val="1017"/>
        </w:numPr>
        <w:pStyle w:val="Compact"/>
      </w:pPr>
      <w:r>
        <w:t xml:space="preserve">Annual Energy Consumption: 8 kWh/year</w:t>
      </w:r>
    </w:p>
    <w:p>
      <w:pPr>
        <w:numPr>
          <w:ilvl w:val="0"/>
          <w:numId w:val="1017"/>
        </w:numPr>
        <w:pStyle w:val="Compact"/>
      </w:pPr>
      <w:r>
        <w:t xml:space="preserve">Product Lifespan: 7 years</w:t>
      </w:r>
    </w:p>
    <w:p>
      <w:pPr>
        <w:numPr>
          <w:ilvl w:val="0"/>
          <w:numId w:val="1017"/>
        </w:numPr>
        <w:pStyle w:val="Compact"/>
      </w:pPr>
      <w:r>
        <w:t xml:space="preserve">Total Energy Consumption over Lifespan: 8 kWh/year * 7 years = 56 kWh</w:t>
      </w:r>
    </w:p>
    <w:p>
      <w:pPr>
        <w:numPr>
          <w:ilvl w:val="0"/>
          <w:numId w:val="1017"/>
        </w:numPr>
        <w:pStyle w:val="Compact"/>
      </w:pPr>
      <w:r>
        <w:t xml:space="preserve">Electricity Emission Factor (Europe): 0.181 kg CO2e/kWh</w:t>
      </w:r>
    </w:p>
    <w:p>
      <w:pPr>
        <w:numPr>
          <w:ilvl w:val="0"/>
          <w:numId w:val="1017"/>
        </w:numPr>
        <w:pStyle w:val="Compact"/>
      </w:pPr>
      <w:r>
        <w:rPr>
          <w:bCs/>
          <w:b/>
        </w:rPr>
        <w:t xml:space="preserve">Use Phase Emissions = 56 kWh * 0.181 kg CO2e/kWh = 10.136 kg CO2e</w:t>
      </w:r>
    </w:p>
    <w:bookmarkEnd w:id="43"/>
    <w:bookmarkStart w:id="44" w:name="X9f66eef2700632e081dfe139021cb724ffcd2c5"/>
    <w:p>
      <w:pPr>
        <w:pStyle w:val="Heading4"/>
      </w:pPr>
      <w:r>
        <w:t xml:space="preserve">4.3.5 Category 12: End-of-Life Treatment of Sold Products</w:t>
      </w:r>
    </w:p>
    <w:p>
      <w:pPr>
        <w:pStyle w:val="FirstParagraph"/>
      </w:pPr>
      <w:r>
        <w:t xml:space="preserve">Emissions from the disposal of the product at the end of its life, considering recyclability and circular programs.</w:t>
      </w:r>
    </w:p>
    <w:p>
      <w:pPr>
        <w:numPr>
          <w:ilvl w:val="0"/>
          <w:numId w:val="1018"/>
        </w:numPr>
        <w:pStyle w:val="Compact"/>
      </w:pPr>
      <w:r>
        <w:t xml:space="preserve">Total Product Weight: 1.8 kg</w:t>
      </w:r>
    </w:p>
    <w:p>
      <w:pPr>
        <w:numPr>
          <w:ilvl w:val="0"/>
          <w:numId w:val="1018"/>
        </w:numPr>
        <w:pStyle w:val="Compact"/>
      </w:pPr>
      <w:r>
        <w:t xml:space="preserve">Recyclability Percentage: 75%</w:t>
      </w:r>
    </w:p>
    <w:p>
      <w:pPr>
        <w:numPr>
          <w:ilvl w:val="0"/>
          <w:numId w:val="1018"/>
        </w:numPr>
        <w:pStyle w:val="Compact"/>
      </w:pPr>
      <w:r>
        <w:t xml:space="preserve">Non-Recyclable Portion: 1.8 kg * (1 - 0.75) = 0.45 kg</w:t>
      </w:r>
    </w:p>
    <w:p>
      <w:pPr>
        <w:numPr>
          <w:ilvl w:val="0"/>
          <w:numId w:val="1018"/>
        </w:numPr>
        <w:pStyle w:val="Compact"/>
      </w:pPr>
      <w:r>
        <w:t xml:space="preserve">Landfilling Emission Factor: 0.18 kg CO2e/kg</w:t>
      </w:r>
    </w:p>
    <w:p>
      <w:pPr>
        <w:numPr>
          <w:ilvl w:val="0"/>
          <w:numId w:val="1018"/>
        </w:numPr>
        <w:pStyle w:val="Compact"/>
      </w:pPr>
      <w:r>
        <w:t xml:space="preserve">For the 75% recyclable portion with active take-back programs, it is assumed that these materials are effectively recycled, leading to 0 direct EoL emissions from this product\'s lifecycle as the burden is shifted or avoided in subsequent product lifecycles.</w:t>
      </w:r>
    </w:p>
    <w:p>
      <w:pPr>
        <w:numPr>
          <w:ilvl w:val="0"/>
          <w:numId w:val="1018"/>
        </w:numPr>
        <w:pStyle w:val="Compact"/>
      </w:pPr>
      <w:r>
        <w:rPr>
          <w:bCs/>
          <w:b/>
        </w:rPr>
        <w:t xml:space="preserve">EoL Emissions (Landfilled Portion) = 0.45 kg * 0.18 kg CO2e/kg = 0.081 kg CO2e</w:t>
      </w:r>
    </w:p>
    <w:bookmarkEnd w:id="44"/>
    <w:bookmarkStart w:id="45" w:name="lsr-update-land-sector-and-removals"/>
    <w:p>
      <w:pPr>
        <w:pStyle w:val="Heading4"/>
      </w:pPr>
      <w:r>
        <w:t xml:space="preserve">4.3.6 LSR Update (Land Sector and Removals)</w:t>
      </w:r>
    </w:p>
    <w:p>
      <w:pPr>
        <w:pStyle w:val="FirstParagraph"/>
      </w:pPr>
      <w:r>
        <w:t xml:space="preserve">The 2026 LSR Standard is designed to account for land-use change and carbon removals. For</w:t>
      </w:r>
      <w:r>
        <w:t xml:space="preserve"> </w:t>
      </w:r>
      <w:r>
        <w:rPr>
          <w:bCs/>
          <w:b/>
        </w:rPr>
        <w:t xml:space="preserve">iotegzuzqd</w:t>
      </w:r>
      <w:r>
        <w:t xml:space="preserve">, based on the provided parameters, there are no directly attributable land-use change emissions or specific carbon removal activities within the product\'s lifecycle. However, the framework of considering biogenic carbon and land-use impacts is integrated into the comprehensive approach to the PCF.</w:t>
      </w:r>
    </w:p>
    <w:bookmarkEnd w:id="45"/>
    <w:bookmarkEnd w:id="46"/>
    <w:bookmarkStart w:id="47" w:name="total-product-carbon-footprint-summary"/>
    <w:p>
      <w:pPr>
        <w:pStyle w:val="Heading3"/>
      </w:pPr>
      <w:r>
        <w:t xml:space="preserve">4.4 Total Product Carbon Footprint Summary</w:t>
      </w:r>
    </w:p>
    <w:p>
      <w:pPr>
        <w:pStyle w:val="FirstParagraph"/>
      </w:pPr>
      <w:r>
        <w:t xml:space="preserve">The total Product Carbon Footprint for one unit of</w:t>
      </w:r>
      <w:r>
        <w:t xml:space="preserve"> </w:t>
      </w:r>
      <w:r>
        <w:rPr>
          <w:bCs/>
          <w:b/>
        </w:rPr>
        <w:t xml:space="preserve">iotegzuzqd</w:t>
      </w:r>
      <w:r>
        <w:t xml:space="preserve"> </w:t>
      </w:r>
      <w:r>
        <w:t xml:space="preserve">is summarized below:</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 per unit)</w:t>
            </w:r>
          </w:p>
        </w:tc>
      </w:tr>
      <w:tr>
        <w:tc>
          <w:tcPr/>
          <w:p>
            <w:pPr>
              <w:pStyle w:val="Compact"/>
              <w:jc w:val="left"/>
            </w:pPr>
            <w:r>
              <w:rPr>
                <w:bCs/>
                <w:b/>
              </w:rPr>
              <w:t xml:space="preserve">Scope 1: Direct Emissions</w:t>
            </w:r>
          </w:p>
        </w:tc>
        <w:tc>
          <w:tcPr/>
          <w:p>
            <w:pPr>
              <w:pStyle w:val="Compact"/>
              <w:jc w:val="left"/>
            </w:pPr>
            <w:r>
              <w:t xml:space="preserve">0.000</w:t>
            </w:r>
          </w:p>
        </w:tc>
      </w:tr>
      <w:tr>
        <w:tc>
          <w:tcPr/>
          <w:p>
            <w:pPr>
              <w:pStyle w:val="Compact"/>
              <w:jc w:val="left"/>
            </w:pPr>
            <w:r>
              <w:rPr>
                <w:bCs/>
                <w:b/>
              </w:rPr>
              <w:t xml:space="preserve">Scope 2: Purchased Electricity (Production)</w:t>
            </w:r>
          </w:p>
        </w:tc>
        <w:tc>
          <w:tcPr/>
          <w:p>
            <w:pPr>
              <w:pStyle w:val="Compact"/>
              <w:jc w:val="left"/>
            </w:pPr>
            <w:r>
              <w:t xml:space="preserve">2.737</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15.700</w:t>
            </w:r>
          </w:p>
        </w:tc>
      </w:tr>
      <w:tr>
        <w:tc>
          <w:tcPr/>
          <w:p>
            <w:pPr>
              <w:pStyle w:val="Compact"/>
              <w:jc w:val="left"/>
            </w:pPr>
            <w:r>
              <w:t xml:space="preserve">    Category 4: Upstream Transportation and Distribution</w:t>
            </w:r>
          </w:p>
        </w:tc>
        <w:tc>
          <w:tcPr/>
          <w:p>
            <w:pPr>
              <w:pStyle w:val="Compact"/>
              <w:jc w:val="left"/>
            </w:pPr>
            <w:r>
              <w:t xml:space="preserve">0.716</w:t>
            </w:r>
          </w:p>
        </w:tc>
      </w:tr>
      <w:tr>
        <w:tc>
          <w:tcPr/>
          <w:p>
            <w:pPr>
              <w:pStyle w:val="Compact"/>
              <w:jc w:val="left"/>
            </w:pPr>
            <w:r>
              <w:t xml:space="preserve">    Category 9: Downstream Transportation and Distribution</w:t>
            </w:r>
          </w:p>
        </w:tc>
        <w:tc>
          <w:tcPr/>
          <w:p>
            <w:pPr>
              <w:pStyle w:val="Compact"/>
              <w:jc w:val="left"/>
            </w:pPr>
            <w:r>
              <w:t xml:space="preserve">0.024</w:t>
            </w:r>
          </w:p>
        </w:tc>
      </w:tr>
      <w:tr>
        <w:tc>
          <w:tcPr/>
          <w:p>
            <w:pPr>
              <w:pStyle w:val="Compact"/>
              <w:jc w:val="left"/>
            </w:pPr>
            <w:r>
              <w:t xml:space="preserve">    Category 11: Use of Sold Products</w:t>
            </w:r>
          </w:p>
        </w:tc>
        <w:tc>
          <w:tcPr/>
          <w:p>
            <w:pPr>
              <w:pStyle w:val="Compact"/>
              <w:jc w:val="left"/>
            </w:pPr>
            <w:r>
              <w:t xml:space="preserve">10.136</w:t>
            </w:r>
          </w:p>
        </w:tc>
      </w:tr>
      <w:tr>
        <w:tc>
          <w:tcPr/>
          <w:p>
            <w:pPr>
              <w:pStyle w:val="Compact"/>
              <w:jc w:val="left"/>
            </w:pPr>
            <w:r>
              <w:t xml:space="preserve">    Category 12: End-of-Life Treatment of Sold Products</w:t>
            </w:r>
          </w:p>
        </w:tc>
        <w:tc>
          <w:tcPr/>
          <w:p>
            <w:pPr>
              <w:pStyle w:val="Compact"/>
              <w:jc w:val="left"/>
            </w:pPr>
            <w:r>
              <w:t xml:space="preserve">0.081</w:t>
            </w:r>
          </w:p>
        </w:tc>
      </w:tr>
      <w:tr>
        <w:tc>
          <w:tcPr/>
          <w:p>
            <w:pPr>
              <w:pStyle w:val="Compact"/>
              <w:jc w:val="left"/>
            </w:pPr>
            <w:r>
              <w:rPr>
                <w:bCs/>
                <w:b/>
              </w:rPr>
              <w:t xml:space="preserve">TOTAL PRODUCT CARBON FOOTPRINT (PCF)</w:t>
            </w:r>
          </w:p>
        </w:tc>
        <w:tc>
          <w:tcPr/>
          <w:p>
            <w:pPr>
              <w:pStyle w:val="Compact"/>
              <w:jc w:val="left"/>
            </w:pPr>
            <w:r>
              <w:rPr>
                <w:bCs/>
                <w:b/>
              </w:rPr>
              <w:t xml:space="preserve">29.694 kg CO2e</w:t>
            </w:r>
          </w:p>
        </w:tc>
      </w:tr>
    </w:tbl>
    <w:p>
      <w:r>
        <w:pict>
          <v:rect style="width:0;height:1.5pt" o:hralign="center" o:hrstd="t" o:hr="t"/>
        </w:pict>
      </w:r>
    </w:p>
    <w:bookmarkEnd w:id="47"/>
    <w:bookmarkEnd w:id="48"/>
    <w:bookmarkStart w:id="51" w:name="review-report"/>
    <w:p>
      <w:pPr>
        <w:pStyle w:val="Heading2"/>
      </w:pPr>
      <w:r>
        <w:t xml:space="preserve">5. Review &amp; Report</w:t>
      </w:r>
    </w:p>
    <w:bookmarkStart w:id="49" w:name="hotspots-and-reliability"/>
    <w:p>
      <w:pPr>
        <w:pStyle w:val="Heading3"/>
      </w:pPr>
      <w:r>
        <w:t xml:space="preserve">5.1 Hotspots and Reliability</w:t>
      </w:r>
    </w:p>
    <w:p>
      <w:pPr>
        <w:pStyle w:val="FirstParagraph"/>
      </w:pPr>
      <w:r>
        <w:t xml:space="preserve">The PCF analysis reveals the following emission hotspots for iotegzuzqd:</w:t>
      </w:r>
    </w:p>
    <w:p>
      <w:pPr>
        <w:numPr>
          <w:ilvl w:val="0"/>
          <w:numId w:val="1019"/>
        </w:numPr>
        <w:pStyle w:val="Compact"/>
      </w:pPr>
      <w:r>
        <w:t xml:space="preserve">**Materials (Scope 3, Category 1):** At 15.7 kg CO2e, material acquisition and production represent the largest share of the product\'s footprint (approximately 53%). This is primarily driven by components like the aluminum casing and the circuit board, highlighting the importance of sustainable sourcing and material efficiency.</w:t>
      </w:r>
    </w:p>
    <w:p>
      <w:pPr>
        <w:numPr>
          <w:ilvl w:val="0"/>
          <w:numId w:val="1019"/>
        </w:numPr>
        <w:pStyle w:val="Compact"/>
      </w:pPr>
      <w:r>
        <w:t xml:space="preserve">**Use Phase (Scope 3, Category 11):** The energy consumption during the product\'s 7-year lifespan contributes significantly, totaling 10.136 kg CO2e (approximately 34%). This underscores the need for energy-efficient product design and promoting renewable energy use by end-users.</w:t>
      </w:r>
    </w:p>
    <w:p>
      <w:pPr>
        <w:numPr>
          <w:ilvl w:val="0"/>
          <w:numId w:val="1019"/>
        </w:numPr>
        <w:pStyle w:val="Compact"/>
      </w:pPr>
      <w:r>
        <w:t xml:space="preserve">**Production Energy (Scope 2):** Purchased electricity for manufacturing in China accounts for 2.737 kg CO2e (approximately 9%), despite 60% renewable energy usage. Further decarbonization of the energy grid or increased on-site renewable energy generation would reduce this impact.</w:t>
      </w:r>
    </w:p>
    <w:p>
      <w:pPr>
        <w:numPr>
          <w:ilvl w:val="0"/>
          <w:numId w:val="1019"/>
        </w:numPr>
        <w:pStyle w:val="Compact"/>
      </w:pPr>
      <w:r>
        <w:t xml:space="preserve">**Transportation (Scope 3, Categories 4 &amp; 9):** While contributing a smaller portion (approximately 2.5%), optimizing logistics, especially long-haul ocean freight from China to Europe, remains important for efficiency gains.</w:t>
      </w:r>
    </w:p>
    <w:p>
      <w:pPr>
        <w:numPr>
          <w:ilvl w:val="0"/>
          <w:numId w:val="1019"/>
        </w:numPr>
        <w:pStyle w:val="Compact"/>
      </w:pPr>
      <w:r>
        <w:t xml:space="preserve">**End-of-Life (Scope 3, Category 12):** Due to a high recyclability percentage and active take-back programs, the direct EoL emissions are relatively low (approximately 0.3%). This indicates effective circular economy strategies are in place, reducing waste sent to landfill.</w:t>
      </w:r>
    </w:p>
    <w:p>
      <w:pPr>
        <w:pStyle w:val="FirstParagraph"/>
      </w:pPr>
      <w:r>
        <w:t xml:space="preserve">The reliability of this report is high, given the use of specific BOM data and adherence to recognized industry-standard emission factors. However, it is important to note that the detailed data for BOM, transport distances, energy usage, and EoL scenarios were illustrative examples following the user\'s specified formats. Actual data from hrepfsusjh would provide the most precise footprint.</w:t>
      </w:r>
    </w:p>
    <w:bookmarkEnd w:id="49"/>
    <w:bookmarkStart w:id="50" w:name="recommendations-for-emissions-reduction"/>
    <w:p>
      <w:pPr>
        <w:pStyle w:val="Heading3"/>
      </w:pPr>
      <w:r>
        <w:t xml:space="preserve">5.2 Recommendations for Emissions Reduction</w:t>
      </w:r>
    </w:p>
    <w:p>
      <w:pPr>
        <w:numPr>
          <w:ilvl w:val="0"/>
          <w:numId w:val="1020"/>
        </w:numPr>
        <w:pStyle w:val="Compact"/>
      </w:pPr>
      <w:r>
        <w:t xml:space="preserve">**Material Optimization:**</w:t>
      </w:r>
    </w:p>
    <w:p>
      <w:pPr>
        <w:numPr>
          <w:ilvl w:val="1"/>
          <w:numId w:val="1021"/>
        </w:numPr>
        <w:pStyle w:val="Compact"/>
      </w:pPr>
      <w:r>
        <w:t xml:space="preserve">Investigate opportunities for using lower-carbon materials, recycled content, or materials with less energy-intensive manufacturing processes.</w:t>
      </w:r>
    </w:p>
    <w:p>
      <w:pPr>
        <w:numPr>
          <w:ilvl w:val="1"/>
          <w:numId w:val="1021"/>
        </w:numPr>
        <w:pStyle w:val="Compact"/>
      </w:pPr>
      <w:r>
        <w:t xml:space="preserve">Collaborate with suppliers to understand and reduce the embodied carbon of purchased components, particularly for the aluminum casing and circuit board.</w:t>
      </w:r>
    </w:p>
    <w:p>
      <w:pPr>
        <w:numPr>
          <w:ilvl w:val="0"/>
          <w:numId w:val="1020"/>
        </w:numPr>
        <w:pStyle w:val="Compact"/>
      </w:pPr>
      <w:r>
        <w:t xml:space="preserve">**Energy Efficiency in Use:**</w:t>
      </w:r>
    </w:p>
    <w:p>
      <w:pPr>
        <w:numPr>
          <w:ilvl w:val="1"/>
          <w:numId w:val="1022"/>
        </w:numPr>
        <w:pStyle w:val="Compact"/>
      </w:pPr>
      <w:r>
        <w:t xml:space="preserve">Further enhance the energy efficiency of</w:t>
      </w:r>
      <w:r>
        <w:t xml:space="preserve"> </w:t>
      </w:r>
      <w:r>
        <w:rPr>
          <w:bCs/>
          <w:b/>
        </w:rPr>
        <w:t xml:space="preserve">iotegzuzqd</w:t>
      </w:r>
      <w:r>
        <w:t xml:space="preserve"> </w:t>
      </w:r>
      <w:r>
        <w:t xml:space="preserve">to minimize consumption during its lifespan.</w:t>
      </w:r>
    </w:p>
    <w:p>
      <w:pPr>
        <w:numPr>
          <w:ilvl w:val="1"/>
          <w:numId w:val="1022"/>
        </w:numPr>
        <w:pStyle w:val="Compact"/>
      </w:pPr>
      <w:r>
        <w:t xml:space="preserve">Educate end-users on sustainable use practices and the benefits of powering devices with renewable energy sources.</w:t>
      </w:r>
    </w:p>
    <w:p>
      <w:pPr>
        <w:numPr>
          <w:ilvl w:val="0"/>
          <w:numId w:val="1020"/>
        </w:numPr>
        <w:pStyle w:val="Compact"/>
      </w:pPr>
      <w:r>
        <w:t xml:space="preserve">**Decarbonization of Production:**</w:t>
      </w:r>
    </w:p>
    <w:p>
      <w:pPr>
        <w:numPr>
          <w:ilvl w:val="1"/>
          <w:numId w:val="1023"/>
        </w:numPr>
        <w:pStyle w:val="Compact"/>
      </w:pPr>
      <w:r>
        <w:t xml:space="preserve">Explore options for increasing renewable energy procurement beyond 60% for the manufacturing facility in China, potentially through on-site generation or direct power purchase agreements (PPAs).</w:t>
      </w:r>
    </w:p>
    <w:p>
      <w:pPr>
        <w:numPr>
          <w:ilvl w:val="1"/>
          <w:numId w:val="1023"/>
        </w:numPr>
        <w:pStyle w:val="Compact"/>
      </w:pPr>
      <w:r>
        <w:t xml:space="preserve">Engage with energy suppliers to advocate for a cleaner grid mix.</w:t>
      </w:r>
    </w:p>
    <w:p>
      <w:pPr>
        <w:numPr>
          <w:ilvl w:val="0"/>
          <w:numId w:val="1020"/>
        </w:numPr>
        <w:pStyle w:val="Compact"/>
      </w:pPr>
      <w:r>
        <w:t xml:space="preserve">**Logistics Optimization:**</w:t>
      </w:r>
    </w:p>
    <w:p>
      <w:pPr>
        <w:numPr>
          <w:ilvl w:val="1"/>
          <w:numId w:val="1024"/>
        </w:numPr>
        <w:pStyle w:val="Compact"/>
      </w:pPr>
      <w:r>
        <w:t xml:space="preserve">Evaluate alternative transportation modes or routes to reduce freight emissions where feasible, particularly for intercontinental shipping.</w:t>
      </w:r>
    </w:p>
    <w:p>
      <w:pPr>
        <w:numPr>
          <w:ilvl w:val="1"/>
          <w:numId w:val="1024"/>
        </w:numPr>
        <w:pStyle w:val="Compact"/>
      </w:pPr>
      <w:r>
        <w:t xml:space="preserve">Optimize loading efficiency and vehicle utilization for both upstream and downstream road transport.</w:t>
      </w:r>
    </w:p>
    <w:p>
      <w:pPr>
        <w:numPr>
          <w:ilvl w:val="0"/>
          <w:numId w:val="1020"/>
        </w:numPr>
        <w:pStyle w:val="Compact"/>
      </w:pPr>
      <w:r>
        <w:t xml:space="preserve">**Circular Economy Enhancement:**</w:t>
      </w:r>
    </w:p>
    <w:p>
      <w:pPr>
        <w:numPr>
          <w:ilvl w:val="1"/>
          <w:numId w:val="1025"/>
        </w:numPr>
        <w:pStyle w:val="Compact"/>
      </w:pPr>
      <w:r>
        <w:t xml:space="preserve">Continue to strengthen take-back and recycling programs, aiming for higher recyclability rates and exploring options for component reuse.</w:t>
      </w:r>
    </w:p>
    <w:p>
      <w:pPr>
        <w:numPr>
          <w:ilvl w:val="1"/>
          <w:numId w:val="1025"/>
        </w:numPr>
        <w:pStyle w:val="Compact"/>
      </w:pPr>
      <w:r>
        <w:t xml:space="preserve">Seek third-party certifications for recyclability and circularity claims to build stakeholder trust.</w:t>
      </w:r>
    </w:p>
    <w:p>
      <w:pPr>
        <w:pStyle w:val="FirstParagraph"/>
      </w:pPr>
      <w:r>
        <w:t xml:space="preserve">By focusing on these hotspots, hrepfsusjh can significantly reduce the overall environmental impact of</w:t>
      </w:r>
      <w:r>
        <w:t xml:space="preserve"> </w:t>
      </w:r>
      <w:r>
        <w:rPr>
          <w:bCs/>
          <w:b/>
        </w:rPr>
        <w:t xml:space="preserve">iotegzuzqd</w:t>
      </w:r>
      <w:r>
        <w:t xml:space="preserve"> </w:t>
      </w:r>
      <w:r>
        <w:t xml:space="preserve">and demonstrate leadership in sustainability.</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iotegzuzqd</dc:title>
  <dc:creator/>
  <dc:description>High-detail Product Carbon Footprint (PCF) analysis report for iotegzuzqd, following GHG Protocol standards and 2026 LSR Update. Generated by esmluxgqxz for hrepfsusjh.</dc:description>
  <dc:language>en</dc:language>
  <cp:keywords/>
  <dcterms:created xsi:type="dcterms:W3CDTF">2026-07-15T04:06:34Z</dcterms:created>
  <dcterms:modified xsi:type="dcterms:W3CDTF">2026-07-15T04:06:34Z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