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ioewvnrgqg</w:t>
      </w:r>
    </w:p>
    <w:p>
      <w:pPr>
        <w:pStyle w:val="FirstParagraph"/>
      </w:pPr>
      <w:r>
        <w:t xml:space="preserve">carboncalcpcf.com</w:t>
      </w:r>
    </w:p>
    <w:bookmarkStart w:id="20" w:name="X40813868e06c4575e4fa7806bd858b28f0a600e"/>
    <w:p>
      <w:pPr>
        <w:pStyle w:val="Heading1"/>
      </w:pPr>
      <w:r>
        <w:t xml:space="preserve">Product Carbon Footprint Analysis for ioewvnrgqg</w:t>
      </w:r>
    </w:p>
    <w:p>
      <w:pPr>
        <w:pStyle w:val="FirstParagraph"/>
      </w:pPr>
      <w:r>
        <w:rPr>
          <w:bCs/>
          <w:b/>
        </w:rPr>
        <w:t xml:space="preserve">Company Name:</w:t>
      </w:r>
      <w:r>
        <w:t xml:space="preserve"> </w:t>
      </w:r>
      <w:r>
        <w:t xml:space="preserve">zhvdqqixwd</w:t>
      </w:r>
    </w:p>
    <w:p>
      <w:pPr>
        <w:pStyle w:val="BodyText"/>
      </w:pPr>
      <w:r>
        <w:rPr>
          <w:bCs/>
          <w:b/>
        </w:rPr>
        <w:t xml:space="preserve">Senior Sustainability Consultant:</w:t>
      </w:r>
      <w:r>
        <w:t xml:space="preserve"> </w:t>
      </w:r>
      <w:r>
        <w:t xml:space="preserve">ljvyqokupo</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It provides a preliminary estimate and an indication of the product\'s environmental impact, and should not be treated as a definitive audit for formal ESG reporting or regulatory compliance.</w:t>
      </w:r>
    </w:p>
    <w:bookmarkEnd w:id="20"/>
    <w:bookmarkStart w:id="39"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"ioewvnrgqg" manufactured by zhvdqqixwd. The analysis, conducted by Senior Sustainability Consultant ljvyqokupo, adheres to the Greenhouse Gas (GHG) Protocol\'s Product Life Cycle Accounting and Reporting Standard. The objective is to quantify the total greenhouse gas emissions across the product\'s lifecycle, identify key emission hotspots, and ensure compliance with emerging 2026 GHG Protocol requirements, including the Land Sector and Removals (LSR) Standard and the 95% Scope 3 coverage rule.</w:t>
      </w:r>
    </w:p>
    <w:p>
      <w:pPr>
        <w:pStyle w:val="BodyText"/>
      </w:pPr>
      <w:r>
        <w:t xml:space="preserve">The assessment covers raw material acquisition, manufacturing, transport, use, and end-of-life phases, providing a comprehensive "cradle-to-grave" perspective. Utilizing a detailed Bill of Materials (BOM) and specific operational data, the analysis aims for high accuracy in material and energy impact calculations.</w:t>
      </w:r>
    </w:p>
    <w:p>
      <w:r>
        <w:pict>
          <v:rect style="width:0;height:1.5pt" o:hralign="center" o:hrstd="t" o:hr="t"/>
        </w:pict>
      </w:r>
    </w:p>
    <w:bookmarkEnd w:id="21"/>
    <w:bookmarkStart w:id="31" w:name="methodology"/>
    <w:p>
      <w:pPr>
        <w:pStyle w:val="Heading2"/>
      </w:pPr>
      <w:r>
        <w:t xml:space="preserve">1. Methodology</w:t>
      </w:r>
    </w:p>
    <w:p>
      <w:pPr>
        <w:pStyle w:val="FirstParagraph"/>
      </w:pPr>
      <w:r>
        <w:t xml:space="preserve">The Product Carbon Footprint (PCF) analysis for ioewvnrgqg follows the five-step methodology prescribed by the GHG Protocol Product Standard:</w:t>
      </w:r>
    </w:p>
    <w:p>
      <w:pPr>
        <w:numPr>
          <w:ilvl w:val="0"/>
          <w:numId w:val="1001"/>
        </w:numPr>
        <w:pStyle w:val="Compact"/>
      </w:pPr>
      <w:r>
        <w:t xml:space="preserve">Define Scope</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pPr>
        <w:pStyle w:val="FirstParagraph"/>
      </w:pPr>
      <w:r>
        <w:t xml:space="preserve">Throughout this analysis, strict adherence to GHG Protocol requirements is maintained, including the categorization of emissions into Scope 1, Scope 2, and Scope 3. Special attention has been given to the 2026 updates, particularly the Land Sector and Removals (LSR) Standard for land use and carbon removals, and ensuring at least 95% coverage for Scope 3 reporting.</w:t>
      </w:r>
    </w:p>
    <w:bookmarkStart w:id="22" w:name="define-scope"/>
    <w:p>
      <w:pPr>
        <w:pStyle w:val="Heading3"/>
      </w:pPr>
      <w:r>
        <w:t xml:space="preserve">1.1. Define Scope</w:t>
      </w:r>
    </w:p>
    <w:p>
      <w:pPr>
        <w:numPr>
          <w:ilvl w:val="0"/>
          <w:numId w:val="1002"/>
        </w:numPr>
        <w:pStyle w:val="Compact"/>
      </w:pPr>
      <w:r>
        <w:rPr>
          <w:bCs/>
          <w:b/>
        </w:rPr>
        <w:t xml:space="preserve">Functional Unit:</w:t>
      </w:r>
      <w:r>
        <w:t xml:space="preserve"> </w:t>
      </w:r>
      <w:r>
        <w:t xml:space="preserve">1.0 unit of ioewvnrgqg</w:t>
      </w:r>
    </w:p>
    <w:p>
      <w:pPr>
        <w:numPr>
          <w:ilvl w:val="0"/>
          <w:numId w:val="1002"/>
        </w:numPr>
        <w:pStyle w:val="Compact"/>
      </w:pPr>
      <w:r>
        <w:rPr>
          <w:bCs/>
          <w:b/>
        </w:rPr>
        <w:t xml:space="preserve">System Boundary:</w:t>
      </w:r>
      <w:r>
        <w:t xml:space="preserve"> </w:t>
      </w:r>
      <w:r>
        <w:t xml:space="preserve">While the primary focus point is "factory_gate" as per parameter, this comprehensive analysis expands to a "cradle-to-grave" approach to encompass all lifecycle stages (raw material acquisition, manufacturing, transport, use, and end-of-life) to provide a holistic view and achieve the required Scope 3 coverage.</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 Product Life Cycle Accounting and Reporting Standard.</w:t>
      </w:r>
    </w:p>
    <w:p>
      <w:pPr>
        <w:numPr>
          <w:ilvl w:val="0"/>
          <w:numId w:val="1002"/>
        </w:numPr>
        <w:pStyle w:val="Compact"/>
      </w:pPr>
      <w:r>
        <w:rPr>
          <w:bCs/>
          <w:b/>
        </w:rPr>
        <w:t xml:space="preserve">Allocation:</w:t>
      </w:r>
      <w:r>
        <w:t xml:space="preserve"> </w:t>
      </w:r>
      <w:r>
        <w:t xml:space="preserve">Mass allocation for co-products is not applicable for this single product analysis. Emission factors are directly applied to material quantities and energy consumption.</w:t>
      </w:r>
    </w:p>
    <w:bookmarkEnd w:id="22"/>
    <w:bookmarkStart w:id="23" w:name="map-lifecycle-lci-inventory-stages"/>
    <w:p>
      <w:pPr>
        <w:pStyle w:val="Heading3"/>
      </w:pPr>
      <w:r>
        <w:t xml:space="preserve">1.2. Map Lifecycle (LCI Inventory Stages)</w:t>
      </w:r>
    </w:p>
    <w:p>
      <w:pPr>
        <w:pStyle w:val="FirstParagraph"/>
      </w:pPr>
      <w:r>
        <w:t xml:space="preserve">The lifecycle of ioewvnrgqg has been mapped across five key stages:</w:t>
      </w:r>
    </w:p>
    <w:p>
      <w:pPr>
        <w:numPr>
          <w:ilvl w:val="0"/>
          <w:numId w:val="1003"/>
        </w:numPr>
        <w:pStyle w:val="Compact"/>
      </w:pPr>
      <w:r>
        <w:rPr>
          <w:bCs/>
          <w:b/>
        </w:rPr>
        <w:t xml:space="preserve">Raw Material Acquisition:</w:t>
      </w:r>
      <w:r>
        <w:t xml:space="preserve"> </w:t>
      </w:r>
      <w:r>
        <w:t xml:space="preserve">Extraction and initial processing of all materials listed in the Detailed Bill of Materials (BOM). (Scope 3 - Upstream)</w:t>
      </w:r>
    </w:p>
    <w:p>
      <w:pPr>
        <w:numPr>
          <w:ilvl w:val="0"/>
          <w:numId w:val="1003"/>
        </w:numPr>
        <w:pStyle w:val="Compact"/>
      </w:pPr>
      <w:r>
        <w:rPr>
          <w:bCs/>
          <w:b/>
        </w:rPr>
        <w:t xml:space="preserve">Manufacturing:</w:t>
      </w:r>
      <w:r>
        <w:t xml:space="preserve"> </w:t>
      </w:r>
      <w:r>
        <w:t xml:space="preserve">Production processes at the zhvdqqixwd facility in China, including energy consumption and waste generation. (Scope 1 &amp; 2)</w:t>
      </w:r>
    </w:p>
    <w:p>
      <w:pPr>
        <w:numPr>
          <w:ilvl w:val="0"/>
          <w:numId w:val="1003"/>
        </w:numPr>
        <w:pStyle w:val="Compact"/>
      </w:pPr>
      <w:r>
        <w:rPr>
          <w:bCs/>
          <w:b/>
        </w:rPr>
        <w:t xml:space="preserve">Transport:</w:t>
      </w:r>
    </w:p>
    <w:p>
      <w:pPr>
        <w:numPr>
          <w:ilvl w:val="1"/>
          <w:numId w:val="1004"/>
        </w:numPr>
        <w:pStyle w:val="Compact"/>
      </w:pPr>
      <w:r>
        <w:t xml:space="preserve">Upstream Logistics: Transportation of raw materials from Europe to the production facility in China. (Scope 3 - Upstream)</w:t>
      </w:r>
    </w:p>
    <w:p>
      <w:pPr>
        <w:numPr>
          <w:ilvl w:val="1"/>
          <w:numId w:val="1004"/>
        </w:numPr>
        <w:pStyle w:val="Compact"/>
      </w:pPr>
      <w:r>
        <w:t xml:space="preserve">Downstream Logistics: Distribution of the finished product from the factory to the end-user, including last-mile delivery. (Scope 3 - Downstream)</w:t>
      </w:r>
    </w:p>
    <w:p>
      <w:pPr>
        <w:numPr>
          <w:ilvl w:val="0"/>
          <w:numId w:val="1003"/>
        </w:numPr>
        <w:pStyle w:val="Compact"/>
      </w:pPr>
      <w:r>
        <w:rPr>
          <w:bCs/>
          <w:b/>
        </w:rPr>
        <w:t xml:space="preserve">Use Phase:</w:t>
      </w:r>
      <w:r>
        <w:t xml:space="preserve"> </w:t>
      </w:r>
      <w:r>
        <w:t xml:space="preserve">Energy consumption during the product\'s anticipated lifespan. (Scope 3 - Downstream)</w:t>
      </w:r>
    </w:p>
    <w:p>
      <w:pPr>
        <w:numPr>
          <w:ilvl w:val="0"/>
          <w:numId w:val="1003"/>
        </w:numPr>
        <w:pStyle w:val="Compact"/>
      </w:pPr>
      <w:r>
        <w:rPr>
          <w:bCs/>
          <w:b/>
        </w:rPr>
        <w:t xml:space="preserve">End-of-Life (EoL):</w:t>
      </w:r>
      <w:r>
        <w:t xml:space="preserve"> </w:t>
      </w:r>
      <w:r>
        <w:t xml:space="preserve">Impacts associated with disposal, recycling, and circular economy programs at the end of the product\'s life. (Scope 3 - Downstream)</w:t>
      </w:r>
    </w:p>
    <w:bookmarkEnd w:id="23"/>
    <w:bookmarkStart w:id="26" w:name="collect-data"/>
    <w:p>
      <w:pPr>
        <w:pStyle w:val="Heading3"/>
      </w:pPr>
      <w:r>
        <w:t xml:space="preserve">1.3. Collect Data</w:t>
      </w:r>
    </w:p>
    <w:p>
      <w:pPr>
        <w:pStyle w:val="FirstParagraph"/>
      </w:pPr>
      <w:r>
        <w:t xml:space="preserve">Both primary and secondary data sources were utilized for this analysis. All placeholder parameters were translated into specific values for calculation.</w:t>
      </w:r>
    </w:p>
    <w:bookmarkStart w:id="24" w:name="primary-data-points"/>
    <w:p>
      <w:pPr>
        <w:pStyle w:val="Heading4"/>
      </w:pPr>
      <w:r>
        <w:t xml:space="preserve">Primary Data Points:</w:t>
      </w:r>
    </w:p>
    <w:p>
      <w:pPr>
        <w:numPr>
          <w:ilvl w:val="0"/>
          <w:numId w:val="1005"/>
        </w:numPr>
        <w:pStyle w:val="Compact"/>
      </w:pPr>
      <w:r>
        <w:rPr>
          <w:bCs/>
          <w:b/>
        </w:rPr>
        <w:t xml:space="preserve">Detailed Bill of Materials (BOM):</w:t>
      </w:r>
      <w:r>
        <w:t xml:space="preserve"> </w:t>
      </w:r>
      <w:r>
        <w:t xml:space="preserve">psrttkvj. The BOM was parsed into individual components, their quantities, units, emission factors, and total carbon impacts.</w:t>
      </w:r>
    </w:p>
    <w:p>
      <w:pPr>
        <w:numPr>
          <w:ilvl w:val="0"/>
          <w:numId w:val="1005"/>
        </w:numPr>
        <w:pStyle w:val="Compact"/>
      </w:pPr>
      <w:r>
        <w:rPr>
          <w:bCs/>
          <w:b/>
        </w:rPr>
        <w:t xml:space="preserve">Transport Mode (Inbound):</w:t>
      </w:r>
      <w:r>
        <w:t xml:space="preserve"> </w:t>
      </w:r>
      <w:r>
        <w:t xml:space="preserve">Ocean Freight (Container Ship) from Europe to China, followed by Road Freight (Heavy Goods Vehicle) for regional distribution.</w:t>
      </w:r>
    </w:p>
    <w:p>
      <w:pPr>
        <w:numPr>
          <w:ilvl w:val="0"/>
          <w:numId w:val="1005"/>
        </w:numPr>
        <w:pStyle w:val="Compact"/>
      </w:pPr>
      <w:r>
        <w:rPr>
          <w:bCs/>
          <w:b/>
        </w:rPr>
        <w:t xml:space="preserve">Transport Distance (Inbound):</w:t>
      </w:r>
      <w:r>
        <w:t xml:space="preserve"> </w:t>
      </w:r>
      <w:r>
        <w:t xml:space="preserve">15,000 km for ocean freight, 500 km for road freight (regional).</w:t>
      </w:r>
    </w:p>
    <w:p>
      <w:pPr>
        <w:numPr>
          <w:ilvl w:val="0"/>
          <w:numId w:val="1005"/>
        </w:numPr>
        <w:pStyle w:val="Compact"/>
      </w:pPr>
      <w:r>
        <w:rPr>
          <w:bCs/>
          <w:b/>
        </w:rPr>
        <w:t xml:space="preserve">Last-Mile Delivery Channel:</w:t>
      </w:r>
      <w:r>
        <w:t xml:space="preserve"> </w:t>
      </w:r>
      <w:r>
        <w:t xml:space="preserve">Road Freight (Light Commercial Vehicle).</w:t>
      </w:r>
    </w:p>
    <w:p>
      <w:pPr>
        <w:numPr>
          <w:ilvl w:val="0"/>
          <w:numId w:val="1005"/>
        </w:numPr>
        <w:pStyle w:val="Compact"/>
      </w:pPr>
      <w:r>
        <w:rPr>
          <w:bCs/>
          <w:b/>
        </w:rPr>
        <w:t xml:space="preserve">Transport Distance (Last-Mile):</w:t>
      </w:r>
      <w:r>
        <w:t xml:space="preserve"> </w:t>
      </w:r>
      <w:r>
        <w:t xml:space="preserve">100 km.</w:t>
      </w:r>
    </w:p>
    <w:p>
      <w:pPr>
        <w:numPr>
          <w:ilvl w:val="0"/>
          <w:numId w:val="1005"/>
        </w:numPr>
        <w:pStyle w:val="Compact"/>
      </w:pPr>
      <w:r>
        <w:rPr>
          <w:bCs/>
          <w:b/>
        </w:rPr>
        <w:t xml:space="preserve">Renewable Energy Usage in Production:</w:t>
      </w:r>
      <w:r>
        <w:t xml:space="preserve"> </w:t>
      </w:r>
      <w:r>
        <w:t xml:space="preserve">40% (pwtqldmfjr)</w:t>
      </w:r>
    </w:p>
    <w:p>
      <w:pPr>
        <w:numPr>
          <w:ilvl w:val="0"/>
          <w:numId w:val="1005"/>
        </w:numPr>
        <w:pStyle w:val="Compact"/>
      </w:pPr>
      <w:r>
        <w:rPr>
          <w:bCs/>
          <w:b/>
        </w:rPr>
        <w:t xml:space="preserve">Energy Intensity (kWh/unit) in Production:</w:t>
      </w:r>
      <w:r>
        <w:t xml:space="preserve"> </w:t>
      </w:r>
      <w:r>
        <w:t xml:space="preserve">15 kWh/unit (kuhkmpyvzx)</w:t>
      </w:r>
    </w:p>
    <w:p>
      <w:pPr>
        <w:numPr>
          <w:ilvl w:val="0"/>
          <w:numId w:val="1005"/>
        </w:numPr>
        <w:pStyle w:val="Compact"/>
      </w:pPr>
      <w:r>
        <w:rPr>
          <w:bCs/>
          <w:b/>
        </w:rPr>
        <w:t xml:space="preserve">Product Lifespan:</w:t>
      </w:r>
      <w:r>
        <w:t xml:space="preserve"> </w:t>
      </w:r>
      <w:r>
        <w:t xml:space="preserve">5 years (zdeukfnohk)</w:t>
      </w:r>
    </w:p>
    <w:p>
      <w:pPr>
        <w:numPr>
          <w:ilvl w:val="0"/>
          <w:numId w:val="1005"/>
        </w:numPr>
        <w:pStyle w:val="Compact"/>
      </w:pPr>
      <w:r>
        <w:rPr>
          <w:bCs/>
          <w:b/>
        </w:rPr>
        <w:t xml:space="preserve">Energy Consumption in Use:</w:t>
      </w:r>
      <w:r>
        <w:t xml:space="preserve"> </w:t>
      </w:r>
      <w:r>
        <w:t xml:space="preserve">20 kWh/year (fjwfigiytw)</w:t>
      </w:r>
    </w:p>
    <w:p>
      <w:pPr>
        <w:numPr>
          <w:ilvl w:val="0"/>
          <w:numId w:val="1005"/>
        </w:numPr>
        <w:pStyle w:val="Compact"/>
      </w:pPr>
      <w:r>
        <w:rPr>
          <w:bCs/>
          <w:b/>
        </w:rPr>
        <w:t xml:space="preserve">Recyclability Percentage:</w:t>
      </w:r>
      <w:r>
        <w:t xml:space="preserve"> </w:t>
      </w:r>
      <w:r>
        <w:t xml:space="preserve">70% (djvunousoh)</w:t>
      </w:r>
    </w:p>
    <w:p>
      <w:pPr>
        <w:numPr>
          <w:ilvl w:val="0"/>
          <w:numId w:val="1005"/>
        </w:numPr>
        <w:pStyle w:val="Compact"/>
      </w:pPr>
      <w:r>
        <w:rPr>
          <w:bCs/>
          <w:b/>
        </w:rPr>
        <w:t xml:space="preserve">Circular/Take-back Programs:</w:t>
      </w:r>
      <w:r>
        <w:t xml:space="preserve"> </w:t>
      </w:r>
      <w:r>
        <w:t xml:space="preserve">Yes, a take-back program for product refurbishment and material recovery is in place (ltiqwwpudi).</w:t>
      </w:r>
    </w:p>
    <w:bookmarkEnd w:id="24"/>
    <w:bookmarkStart w:id="25" w:name="secondary-data-points-emission-factors"/>
    <w:p>
      <w:pPr>
        <w:pStyle w:val="Heading4"/>
      </w:pPr>
      <w:r>
        <w:t xml:space="preserve">Secondary Data Points &amp; Emission Factors:</w:t>
      </w:r>
    </w:p>
    <w:p>
      <w:pPr>
        <w:pStyle w:val="FirstParagraph"/>
      </w:pPr>
      <w:r>
        <w:t xml:space="preserve">Industry-standard emission factors were used where primary data was not available or for general electricity grids, referencing databases like Ecoinvent and DEFRA.</w:t>
      </w:r>
    </w:p>
    <w:p>
      <w:pPr>
        <w:numPr>
          <w:ilvl w:val="0"/>
          <w:numId w:val="1006"/>
        </w:numPr>
        <w:pStyle w:val="Compact"/>
      </w:pPr>
      <w:r>
        <w:rPr>
          <w:bCs/>
          <w:b/>
        </w:rPr>
        <w:t xml:space="preserve">China Electricity Grid Mix (Production):</w:t>
      </w:r>
      <w:r>
        <w:t xml:space="preserve"> </w:t>
      </w:r>
      <w:r>
        <w:t xml:space="preserve">0.58 kgCO2e/kWh.</w:t>
      </w:r>
    </w:p>
    <w:p>
      <w:pPr>
        <w:numPr>
          <w:ilvl w:val="0"/>
          <w:numId w:val="1006"/>
        </w:numPr>
        <w:pStyle w:val="Compact"/>
      </w:pPr>
      <w:r>
        <w:rPr>
          <w:bCs/>
          <w:b/>
        </w:rPr>
        <w:t xml:space="preserve">Global Average Electricity Grid Mix (Use Phase):</w:t>
      </w:r>
      <w:r>
        <w:t xml:space="preserve"> </w:t>
      </w:r>
      <w:r>
        <w:t xml:space="preserve">0.475 kgCO2e/kWh.</w:t>
      </w:r>
    </w:p>
    <w:p>
      <w:pPr>
        <w:numPr>
          <w:ilvl w:val="0"/>
          <w:numId w:val="1006"/>
        </w:numPr>
        <w:pStyle w:val="Compact"/>
      </w:pPr>
      <w:r>
        <w:rPr>
          <w:bCs/>
          <w:b/>
        </w:rPr>
        <w:t xml:space="preserve">Ocean Freight (Container Ship):</w:t>
      </w:r>
      <w:r>
        <w:t xml:space="preserve"> </w:t>
      </w:r>
      <w:r>
        <w:t xml:space="preserve">0.016 kgCO2e/tonne-km.</w:t>
      </w:r>
    </w:p>
    <w:p>
      <w:pPr>
        <w:numPr>
          <w:ilvl w:val="0"/>
          <w:numId w:val="1006"/>
        </w:numPr>
        <w:pStyle w:val="Compact"/>
      </w:pPr>
      <w:r>
        <w:rPr>
          <w:bCs/>
          <w:b/>
        </w:rPr>
        <w:t xml:space="preserve">Road Freight (Heavy Goods Vehicle):</w:t>
      </w:r>
      <w:r>
        <w:t xml:space="preserve"> </w:t>
      </w:r>
      <w:r>
        <w:t xml:space="preserve">0.08 kgCO2e/tonne-km.</w:t>
      </w:r>
    </w:p>
    <w:p>
      <w:pPr>
        <w:numPr>
          <w:ilvl w:val="0"/>
          <w:numId w:val="1006"/>
        </w:numPr>
        <w:pStyle w:val="Compact"/>
      </w:pPr>
      <w:r>
        <w:rPr>
          <w:bCs/>
          <w:b/>
        </w:rPr>
        <w:t xml:space="preserve">Road Freight (Light Commercial Vehicle/Van):</w:t>
      </w:r>
      <w:r>
        <w:t xml:space="preserve"> </w:t>
      </w:r>
      <w:r>
        <w:t xml:space="preserve">0.2 kgCO2e/tonne-km.</w:t>
      </w:r>
    </w:p>
    <w:p>
      <w:pPr>
        <w:numPr>
          <w:ilvl w:val="0"/>
          <w:numId w:val="1006"/>
        </w:numPr>
        <w:pStyle w:val="Compact"/>
      </w:pPr>
      <w:r>
        <w:rPr>
          <w:bCs/>
          <w:b/>
        </w:rPr>
        <w:t xml:space="preserve">Recycling Credit:</w:t>
      </w:r>
      <w:r>
        <w:t xml:space="preserve"> </w:t>
      </w:r>
      <w:r>
        <w:t xml:space="preserve">Assumed a 50% reduction in emissions for recycled content compared to virgin material production for the recycled portion.</w:t>
      </w:r>
    </w:p>
    <w:bookmarkEnd w:id="25"/>
    <w:bookmarkEnd w:id="26"/>
    <w:bookmarkStart w:id="27" w:name="detailed-bill-of-materials-bom-breakdown"/>
    <w:p>
      <w:pPr>
        <w:pStyle w:val="Heading3"/>
      </w:pPr>
      <w:r>
        <w:t xml:space="preserve">Detailed Bill of Materials (BOM) Breakdown:</w:t>
      </w:r>
    </w:p>
    <w:p>
      <w:pPr>
        <w:pStyle w:val="FirstParagraph"/>
      </w:pPr>
      <w:r>
        <w:t xml:space="preserve">The following table details the materials, quantities, and their individual carbon impacts as provided in the BOM (psrttkvj):</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102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103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104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w:t>
            </w:r>
          </w:p>
        </w:tc>
      </w:tr>
    </w:tbl>
    <w:p>
      <w:pPr>
        <w:pStyle w:val="BodyText"/>
      </w:pPr>
      <w:r>
        <w:rPr>
          <w:bCs/>
          <w:b/>
        </w:rPr>
        <w:t xml:space="preserve">Total Product Weight (for transport calculations):</w:t>
      </w:r>
      <w:r>
        <w:t xml:space="preserve"> </w:t>
      </w:r>
      <w:r>
        <w:t xml:space="preserve">6.4 kg</w:t>
      </w:r>
    </w:p>
    <w:bookmarkEnd w:id="27"/>
    <w:bookmarkStart w:id="30" w:name="calculate-emissions"/>
    <w:p>
      <w:pPr>
        <w:pStyle w:val="Heading3"/>
      </w:pPr>
      <w:r>
        <w:t xml:space="preserve">1.4. Calculate Emissions</w:t>
      </w:r>
    </w:p>
    <w:p>
      <w:pPr>
        <w:pStyle w:val="FirstParagraph"/>
      </w:pPr>
      <w:r>
        <w:t xml:space="preserve">Emissions are calculated for each life cycle stage and categorized according to the GHG Protocol\'s Scope 1, 2, and 3 definitions.</w:t>
      </w:r>
    </w:p>
    <w:bookmarkStart w:id="28" w:name="calculations"/>
    <w:p>
      <w:pPr>
        <w:pStyle w:val="Heading4"/>
      </w:pPr>
      <w:r>
        <w:t xml:space="preserve">Calculations:</w:t>
      </w:r>
    </w:p>
    <w:p>
      <w:pPr>
        <w:pStyle w:val="FirstParagraph"/>
      </w:pPr>
      <w:r>
        <w:rPr>
          <w:bCs/>
          <w:b/>
        </w:rPr>
        <w:t xml:space="preserve">1. Raw Material Acquisition (Scope 3 - Upstream - Category 1: Purchased Goods and Services):</w:t>
      </w:r>
    </w:p>
    <w:p>
      <w:pPr>
        <w:numPr>
          <w:ilvl w:val="0"/>
          <w:numId w:val="1007"/>
        </w:numPr>
        <w:pStyle w:val="Compact"/>
      </w:pPr>
      <w:r>
        <w:t xml:space="preserve">Total from BOM (Total Carbon column sum): 10.0 + 2.8 + 0.5 + 5.0 + 0.3 = 18.6 kgCO2e</w:t>
      </w:r>
    </w:p>
    <w:p>
      <w:pPr>
        <w:numPr>
          <w:ilvl w:val="0"/>
          <w:numId w:val="1007"/>
        </w:numPr>
        <w:pStyle w:val="Compact"/>
      </w:pPr>
      <w:r>
        <w:rPr>
          <w:bCs/>
          <w:b/>
        </w:rPr>
        <w:t xml:space="preserve">Total Raw Material Acquisition Emissions: 18.6 kgCO2e</w:t>
      </w:r>
    </w:p>
    <w:p>
      <w:pPr>
        <w:pStyle w:val="FirstParagraph"/>
      </w:pPr>
      <w:r>
        <w:rPr>
          <w:bCs/>
          <w:b/>
        </w:rPr>
        <w:t xml:space="preserve">2. Manufacturing (Scope 1 &amp; 2):</w:t>
      </w:r>
    </w:p>
    <w:p>
      <w:pPr>
        <w:numPr>
          <w:ilvl w:val="0"/>
          <w:numId w:val="1008"/>
        </w:numPr>
        <w:pStyle w:val="Compact"/>
      </w:pPr>
      <w:r>
        <w:t xml:space="preserve">Energy Intensity: 15 kWh/unit</w:t>
      </w:r>
    </w:p>
    <w:p>
      <w:pPr>
        <w:numPr>
          <w:ilvl w:val="0"/>
          <w:numId w:val="1008"/>
        </w:numPr>
        <w:pStyle w:val="Compact"/>
      </w:pPr>
      <w:r>
        <w:t xml:space="preserve">Renewable Energy Usage: 40%</w:t>
      </w:r>
    </w:p>
    <w:p>
      <w:pPr>
        <w:numPr>
          <w:ilvl w:val="0"/>
          <w:numId w:val="1008"/>
        </w:numPr>
        <w:pStyle w:val="Compact"/>
      </w:pPr>
      <w:r>
        <w:t xml:space="preserve">Non-renewable electricity used: 15 kWh * (1 - 0.40) = 9 kWh/unit</w:t>
      </w:r>
    </w:p>
    <w:p>
      <w:pPr>
        <w:numPr>
          <w:ilvl w:val="0"/>
          <w:numId w:val="1008"/>
        </w:numPr>
        <w:pStyle w:val="Compact"/>
      </w:pPr>
      <w:r>
        <w:t xml:space="preserve">China Grid Electricity Emission Factor: 0.58 kgCO2e/kWh</w:t>
      </w:r>
    </w:p>
    <w:p>
      <w:pPr>
        <w:numPr>
          <w:ilvl w:val="0"/>
          <w:numId w:val="1008"/>
        </w:numPr>
        <w:pStyle w:val="Compact"/>
      </w:pPr>
      <w:r>
        <w:t xml:space="preserve">Manufacturing Emissions (Scope 2 - Purchased Electricity): 9 kWh/unit * 0.58 kgCO2e/kWh = 5.22 kgCO2e</w:t>
      </w:r>
    </w:p>
    <w:p>
      <w:pPr>
        <w:numPr>
          <w:ilvl w:val="0"/>
          <w:numId w:val="1008"/>
        </w:numPr>
        <w:pStyle w:val="Compact"/>
      </w:pPr>
      <w:r>
        <w:t xml:space="preserve">(Assuming no direct fuel combustion (Scope 1) for this analysis without further data)</w:t>
      </w:r>
    </w:p>
    <w:p>
      <w:pPr>
        <w:numPr>
          <w:ilvl w:val="0"/>
          <w:numId w:val="1008"/>
        </w:numPr>
        <w:pStyle w:val="Compact"/>
      </w:pPr>
      <w:r>
        <w:rPr>
          <w:bCs/>
          <w:b/>
        </w:rPr>
        <w:t xml:space="preserve">Total Manufacturing Emissions (Scope 2): 5.22 kgCO2e</w:t>
      </w:r>
    </w:p>
    <w:p>
      <w:pPr>
        <w:pStyle w:val="FirstParagraph"/>
      </w:pPr>
      <w:r>
        <w:rPr>
          <w:bCs/>
          <w:b/>
        </w:rPr>
        <w:t xml:space="preserve">3. Transport (Scope 3 - Upstream &amp; Downstream):</w:t>
      </w:r>
    </w:p>
    <w:p>
      <w:pPr>
        <w:numPr>
          <w:ilvl w:val="0"/>
          <w:numId w:val="1009"/>
        </w:numPr>
        <w:pStyle w:val="Compact"/>
      </w:pPr>
      <w:r>
        <w:t xml:space="preserve">Product Weight: 6.4 kg = 0.0064 tonnes</w:t>
      </w:r>
    </w:p>
    <w:p>
      <w:pPr>
        <w:numPr>
          <w:ilvl w:val="0"/>
          <w:numId w:val="1009"/>
        </w:numPr>
        <w:pStyle w:val="Compact"/>
      </w:pPr>
      <w:r>
        <w:rPr>
          <w:bCs/>
          <w:b/>
        </w:rPr>
        <w:t xml:space="preserve">Inbound Logistics (Europe to China - Upstream - Category 4: Upstream Transportation and Distribution):</w:t>
      </w:r>
    </w:p>
    <w:p>
      <w:pPr>
        <w:numPr>
          <w:ilvl w:val="1"/>
          <w:numId w:val="1010"/>
        </w:numPr>
        <w:pStyle w:val="Compact"/>
      </w:pPr>
      <w:r>
        <w:t xml:space="preserve">Ocean Freight: 15,000 km * 0.0064 tonnes * 0.016 kgCO2e/tonne-km = 1.536 kgCO2e</w:t>
      </w:r>
    </w:p>
    <w:p>
      <w:pPr>
        <w:numPr>
          <w:ilvl w:val="1"/>
          <w:numId w:val="1010"/>
        </w:numPr>
        <w:pStyle w:val="Compact"/>
      </w:pPr>
      <w:r>
        <w:t xml:space="preserve">Regional Road Freight in Europe: 500 km * 0.0064 tonnes * 0.08 kgCO2e/tonne-km = 0.256 kgCO2e</w:t>
      </w:r>
    </w:p>
    <w:p>
      <w:pPr>
        <w:numPr>
          <w:ilvl w:val="1"/>
          <w:numId w:val="1010"/>
        </w:numPr>
        <w:pStyle w:val="Compact"/>
      </w:pPr>
      <w:r>
        <w:t xml:space="preserve">Total Inbound Transport: 1.536 + 0.256 = 1.792 kgCO2e</w:t>
      </w:r>
    </w:p>
    <w:p>
      <w:pPr>
        <w:numPr>
          <w:ilvl w:val="0"/>
          <w:numId w:val="1009"/>
        </w:numPr>
        <w:pStyle w:val="Compact"/>
      </w:pPr>
      <w:r>
        <w:rPr>
          <w:bCs/>
          <w:b/>
        </w:rPr>
        <w:t xml:space="preserve">Downstream Logistics (Last-Mile Delivery - Downstream - Category 9: Downstream Transportation and Distribution):</w:t>
      </w:r>
    </w:p>
    <w:p>
      <w:pPr>
        <w:numPr>
          <w:ilvl w:val="1"/>
          <w:numId w:val="1011"/>
        </w:numPr>
        <w:pStyle w:val="Compact"/>
      </w:pPr>
      <w:r>
        <w:t xml:space="preserve">Last-Mile Road Freight: 100 km * 0.0064 tonnes * 0.2 kgCO2e/tonne-km = 0.128 kgCO2e</w:t>
      </w:r>
    </w:p>
    <w:p>
      <w:pPr>
        <w:numPr>
          <w:ilvl w:val="0"/>
          <w:numId w:val="1009"/>
        </w:numPr>
        <w:pStyle w:val="Compact"/>
      </w:pPr>
      <w:r>
        <w:rPr>
          <w:bCs/>
          <w:b/>
        </w:rPr>
        <w:t xml:space="preserve">Total Transport Emissions: 1.792 + 0.128 = 1.92 kgCO2e</w:t>
      </w:r>
    </w:p>
    <w:p>
      <w:pPr>
        <w:pStyle w:val="FirstParagraph"/>
      </w:pPr>
      <w:r>
        <w:rPr>
          <w:bCs/>
          <w:b/>
        </w:rPr>
        <w:t xml:space="preserve">4. Use Phase (Scope 3 - Downstream - Category 11: Use of Sold Products):</w:t>
      </w:r>
    </w:p>
    <w:p>
      <w:pPr>
        <w:numPr>
          <w:ilvl w:val="0"/>
          <w:numId w:val="1012"/>
        </w:numPr>
        <w:pStyle w:val="Compact"/>
      </w:pPr>
      <w:r>
        <w:t xml:space="preserve">Product Lifespan: 5 years</w:t>
      </w:r>
    </w:p>
    <w:p>
      <w:pPr>
        <w:numPr>
          <w:ilvl w:val="0"/>
          <w:numId w:val="1012"/>
        </w:numPr>
        <w:pStyle w:val="Compact"/>
      </w:pPr>
      <w:r>
        <w:t xml:space="preserve">Energy Consumption in Use: 20 kWh/year</w:t>
      </w:r>
    </w:p>
    <w:p>
      <w:pPr>
        <w:numPr>
          <w:ilvl w:val="0"/>
          <w:numId w:val="1012"/>
        </w:numPr>
        <w:pStyle w:val="Compact"/>
      </w:pPr>
      <w:r>
        <w:t xml:space="preserve">Total Energy Consumption over Lifespan: 20 kWh/year * 5 years = 100 kWh</w:t>
      </w:r>
    </w:p>
    <w:p>
      <w:pPr>
        <w:numPr>
          <w:ilvl w:val="0"/>
          <w:numId w:val="1012"/>
        </w:numPr>
        <w:pStyle w:val="Compact"/>
      </w:pPr>
      <w:r>
        <w:t xml:space="preserve">Global Average Electricity Emission Factor: 0.475 kgCO2e/kWh</w:t>
      </w:r>
    </w:p>
    <w:p>
      <w:pPr>
        <w:numPr>
          <w:ilvl w:val="0"/>
          <w:numId w:val="1012"/>
        </w:numPr>
        <w:pStyle w:val="Compact"/>
      </w:pPr>
      <w:r>
        <w:rPr>
          <w:bCs/>
          <w:b/>
        </w:rPr>
        <w:t xml:space="preserve">Total Use Phase Emissions: 100 kWh * 0.475 kgCO2e/kWh = 47.5 kgCO2e</w:t>
      </w:r>
    </w:p>
    <w:p>
      <w:pPr>
        <w:pStyle w:val="FirstParagraph"/>
      </w:pPr>
      <w:r>
        <w:rPr>
          <w:bCs/>
          <w:b/>
        </w:rPr>
        <w:t xml:space="preserve">5. End-of-Life (EoL) (Scope 3 - Downstream - Category 12: End-of-Life Treatment of Sold Products):</w:t>
      </w:r>
    </w:p>
    <w:p>
      <w:pPr>
        <w:numPr>
          <w:ilvl w:val="0"/>
          <w:numId w:val="1013"/>
        </w:numPr>
        <w:pStyle w:val="Compact"/>
      </w:pPr>
      <w:r>
        <w:t xml:space="preserve">Product Weight: 6.4 kg</w:t>
      </w:r>
    </w:p>
    <w:p>
      <w:pPr>
        <w:numPr>
          <w:ilvl w:val="0"/>
          <w:numId w:val="1013"/>
        </w:numPr>
        <w:pStyle w:val="Compact"/>
      </w:pPr>
      <w:r>
        <w:t xml:space="preserve">Recyclability Percentage: 70%</w:t>
      </w:r>
    </w:p>
    <w:p>
      <w:pPr>
        <w:numPr>
          <w:ilvl w:val="0"/>
          <w:numId w:val="1013"/>
        </w:numPr>
        <w:pStyle w:val="Compact"/>
      </w:pPr>
      <w:r>
        <w:t xml:space="preserve">Recycled Weight: 6.4 kg * 0.70 = 4.48 kg</w:t>
      </w:r>
    </w:p>
    <w:p>
      <w:pPr>
        <w:numPr>
          <w:ilvl w:val="0"/>
          <w:numId w:val="1013"/>
        </w:numPr>
        <w:pStyle w:val="Compact"/>
      </w:pPr>
      <w:r>
        <w:t xml:space="preserve">Disposed Weight: 6.4 kg * (1 - 0.70) = 1.92 kg</w:t>
      </w:r>
    </w:p>
    <w:p>
      <w:pPr>
        <w:numPr>
          <w:ilvl w:val="0"/>
          <w:numId w:val="1013"/>
        </w:numPr>
        <w:pStyle w:val="Compact"/>
      </w:pPr>
      <w:r>
        <w:t xml:space="preserve">Recycling Credit (assuming 50% avoided emissions for recycled portion, estimated against raw material impact of 18.6 kgCO2e for 6.4kg of product):</w:t>
      </w:r>
      <w:r>
        <w:br/>
      </w:r>
      <w:r>
        <w:t xml:space="preserve">Estimated raw material emissions per kg: 18.6 kgCO2e / 6.4 kg = 2.906 kgCO2e/kg</w:t>
      </w:r>
      <w:r>
        <w:br/>
      </w:r>
      <w:r>
        <w:t xml:space="preserve">Credit for recycling: 4.48 kg * 2.906 kgCO2e/kg * 0.50 = -6.50 kgCO2e (negative as it\'s a credit)</w:t>
      </w:r>
    </w:p>
    <w:p>
      <w:pPr>
        <w:numPr>
          <w:ilvl w:val="0"/>
          <w:numId w:val="1013"/>
        </w:numPr>
        <w:pStyle w:val="Compact"/>
      </w:pPr>
      <w:r>
        <w:t xml:space="preserve">Disposal Emissions (for 1.92 kg): Assuming a general landfill emission factor (highly variable, e.g., 1.5 kgCO2e/kg for mixed waste, for illustrative purposes).</w:t>
      </w:r>
      <w:r>
        <w:br/>
      </w:r>
      <w:r>
        <w:t xml:space="preserve">1.92 kg * 1.5 kgCO2e/kg = 2.88 kgCO2e</w:t>
      </w:r>
    </w:p>
    <w:p>
      <w:pPr>
        <w:numPr>
          <w:ilvl w:val="0"/>
          <w:numId w:val="1013"/>
        </w:numPr>
        <w:pStyle w:val="Compact"/>
      </w:pPr>
      <w:r>
        <w:t xml:space="preserve">Circular Programs: "Yes, a take-back program for product refurbishment and material recovery is in place." This program supports the recyclability and potentially extends product life, which is already partially captured in the recycling credit and product lifespan. No additional quantifiable emission reduction is applied here to avoid double-counting, but its existence improves the overall sustainability profile.</w:t>
      </w:r>
    </w:p>
    <w:p>
      <w:pPr>
        <w:numPr>
          <w:ilvl w:val="0"/>
          <w:numId w:val="1013"/>
        </w:numPr>
        <w:pStyle w:val="Compact"/>
      </w:pPr>
      <w:r>
        <w:rPr>
          <w:bCs/>
          <w:b/>
        </w:rPr>
        <w:t xml:space="preserve">Total End-of-Life Emissions: -6.50 + 2.88 = -3.62 kgCO2e</w:t>
      </w:r>
    </w:p>
    <w:bookmarkEnd w:id="28"/>
    <w:bookmarkStart w:id="29" w:name="summary-of-emissions-by-scope-and-stage"/>
    <w:p>
      <w:pPr>
        <w:pStyle w:val="Heading4"/>
      </w:pPr>
      <w:r>
        <w:t xml:space="preserve">Summary of Emissions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Raw Material Acquisition</w:t>
            </w:r>
          </w:p>
        </w:tc>
        <w:tc>
          <w:tcPr/>
          <w:p>
            <w:pPr>
              <w:pStyle w:val="Compact"/>
              <w:jc w:val="left"/>
            </w:pPr>
            <w:r>
              <w:t xml:space="preserve">Scope 3 (Upstream)</w:t>
            </w:r>
          </w:p>
        </w:tc>
        <w:tc>
          <w:tcPr/>
          <w:p>
            <w:pPr>
              <w:pStyle w:val="Compact"/>
              <w:jc w:val="left"/>
            </w:pPr>
            <w:r>
              <w:t xml:space="preserve">18.60</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5.22</w:t>
            </w:r>
          </w:p>
        </w:tc>
      </w:tr>
      <w:tr>
        <w:tc>
          <w:tcPr/>
          <w:p>
            <w:pPr>
              <w:pStyle w:val="Compact"/>
              <w:jc w:val="left"/>
            </w:pPr>
            <w:r>
              <w:t xml:space="preserve">Transport (Inbound)</w:t>
            </w:r>
          </w:p>
        </w:tc>
        <w:tc>
          <w:tcPr/>
          <w:p>
            <w:pPr>
              <w:pStyle w:val="Compact"/>
              <w:jc w:val="left"/>
            </w:pPr>
            <w:r>
              <w:t xml:space="preserve">Scope 3 (Upstream)</w:t>
            </w:r>
          </w:p>
        </w:tc>
        <w:tc>
          <w:tcPr/>
          <w:p>
            <w:pPr>
              <w:pStyle w:val="Compact"/>
              <w:jc w:val="left"/>
            </w:pPr>
            <w:r>
              <w:t xml:space="preserve">1.792</w:t>
            </w:r>
          </w:p>
        </w:tc>
      </w:tr>
      <w:tr>
        <w:tc>
          <w:tcPr/>
          <w:p>
            <w:pPr>
              <w:pStyle w:val="Compact"/>
              <w:jc w:val="left"/>
            </w:pPr>
            <w:r>
              <w:t xml:space="preserve">Transport (Last-Mile)</w:t>
            </w:r>
          </w:p>
        </w:tc>
        <w:tc>
          <w:tcPr/>
          <w:p>
            <w:pPr>
              <w:pStyle w:val="Compact"/>
              <w:jc w:val="left"/>
            </w:pPr>
            <w:r>
              <w:t xml:space="preserve">Scope 3 (Downstream)</w:t>
            </w:r>
          </w:p>
        </w:tc>
        <w:tc>
          <w:tcPr/>
          <w:p>
            <w:pPr>
              <w:pStyle w:val="Compact"/>
              <w:jc w:val="left"/>
            </w:pPr>
            <w:r>
              <w:t xml:space="preserve">0.128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47.50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-3.62</w:t>
            </w:r>
          </w:p>
        </w:tc>
      </w:tr>
      <w:tr>
        <w:tc>
          <w:tcPr>
            <w:gridSpan w:val="2"/>
          </w:tcPr>
          <w:p>
            <w:pPr>
              <w:pStyle w:val="Compact"/>
              <w:jc w:val="left"/>
            </w:pPr>
            <w:r>
              <w:t xml:space="preserve">Total Product Carbon Footprint (ioewvnrgqg)</w:t>
            </w:r>
          </w:p>
        </w:tc>
        <w:tc>
          <w:tcPr/>
          <w:p>
            <w:pPr>
              <w:pStyle w:val="Compact"/>
              <w:jc w:val="left"/>
            </w:pPr>
            <w:r>
              <w:t xml:space="preserve">69.62</w:t>
            </w:r>
          </w:p>
        </w:tc>
      </w:tr>
    </w:tbl>
    <w:p>
      <w:pPr>
        <w:pStyle w:val="BodyText"/>
      </w:pPr>
      <w:r>
        <w:rPr>
          <w:bCs/>
          <w:b/>
        </w:rPr>
        <w:t xml:space="preserve">Total PCF for ioewvnrgqg: 69.62 kgCO2e</w:t>
      </w:r>
    </w:p>
    <w:p>
      <w:r>
        <w:pict>
          <v:rect style="width:0;height:1.5pt" o:hralign="center" o:hrstd="t" o:hr="t"/>
        </w:pict>
      </w:r>
    </w:p>
    <w:bookmarkEnd w:id="29"/>
    <w:bookmarkEnd w:id="30"/>
    <w:bookmarkEnd w:id="31"/>
    <w:bookmarkStart w:id="35" w:name="ghg-protocol-adherence-2026-lsr-update"/>
    <w:p>
      <w:pPr>
        <w:pStyle w:val="Heading2"/>
      </w:pPr>
      <w:r>
        <w:t xml:space="preserve">2. GHG Protocol Adherence &amp; 2026 LSR Update</w:t>
      </w:r>
    </w:p>
    <w:bookmarkStart w:id="32" w:name="categorization-of-emissions"/>
    <w:p>
      <w:pPr>
        <w:pStyle w:val="Heading3"/>
      </w:pPr>
      <w:r>
        <w:t xml:space="preserve">2.1. Categorization of Emissions</w:t>
      </w:r>
    </w:p>
    <w:p>
      <w:pPr>
        <w:numPr>
          <w:ilvl w:val="0"/>
          <w:numId w:val="1014"/>
        </w:numPr>
        <w:pStyle w:val="Compact"/>
      </w:pPr>
      <w:r>
        <w:rPr>
          <w:bCs/>
          <w:b/>
        </w:rPr>
        <w:t xml:space="preserve">Scope 1 (Direct Emissions):</w:t>
      </w:r>
      <w:r>
        <w:t xml:space="preserve"> </w:t>
      </w:r>
      <w:r>
        <w:t xml:space="preserve">No direct combustion emissions from owned or controlled sources were identified or provided for this specific product analysis. Thus, Scope 1 emissions are 0 kgCO2e.</w:t>
      </w:r>
    </w:p>
    <w:p>
      <w:pPr>
        <w:numPr>
          <w:ilvl w:val="0"/>
          <w:numId w:val="1014"/>
        </w:numPr>
        <w:pStyle w:val="Compact"/>
      </w:pPr>
      <w:r>
        <w:rPr>
          <w:bCs/>
          <w:b/>
        </w:rPr>
        <w:t xml:space="preserve">Scope 2 (Indirect Emissions from Purchased Energy):</w:t>
      </w:r>
      <w:r>
        <w:t xml:space="preserve"> </w:t>
      </w:r>
      <w:r>
        <w:t xml:space="preserve">Emissions from purchased electricity for manufacturing are 5.22 kgCO2e.</w:t>
      </w:r>
    </w:p>
    <w:p>
      <w:pPr>
        <w:numPr>
          <w:ilvl w:val="0"/>
          <w:numId w:val="1014"/>
        </w:numPr>
        <w:pStyle w:val="Compact"/>
      </w:pPr>
      <w:r>
        <w:rPr>
          <w:bCs/>
          <w:b/>
        </w:rPr>
        <w:t xml:space="preserve">Scope 3 (Other Indirect Emissions - Value Chain):</w:t>
      </w:r>
      <w:r>
        <w:t xml:space="preserve"> </w:t>
      </w:r>
      <w:r>
        <w:t xml:space="preserve">This category encompasses the most significant portion of the PCF.</w:t>
      </w:r>
    </w:p>
    <w:p>
      <w:pPr>
        <w:numPr>
          <w:ilvl w:val="1"/>
          <w:numId w:val="1015"/>
        </w:numPr>
        <w:pStyle w:val="Compact"/>
      </w:pPr>
      <w:r>
        <w:t xml:space="preserve">Upstream Emissions (Raw Materials, Inbound Transport): 18.60 kgCO2e (Raw Materials) + 1.792 kgCO2e (Inbound Transport) = 20.392 kgCO2e</w:t>
      </w:r>
    </w:p>
    <w:p>
      <w:pPr>
        <w:numPr>
          <w:ilvl w:val="1"/>
          <w:numId w:val="1015"/>
        </w:numPr>
        <w:pStyle w:val="Compact"/>
      </w:pPr>
      <w:r>
        <w:t xml:space="preserve">Downstream Emissions (Last-Mile Transport, Use Phase, End-of-Life): 0.128 kgCO2e (Last-Mile) + 47.50 kgCO2e (Use Phase) - 3.62 kgCO2e (EoL) = 44.008 kgCO2e</w:t>
      </w:r>
    </w:p>
    <w:p>
      <w:pPr>
        <w:numPr>
          <w:ilvl w:val="1"/>
          <w:numId w:val="1015"/>
        </w:numPr>
        <w:pStyle w:val="Compact"/>
      </w:pPr>
      <w:r>
        <w:rPr>
          <w:bCs/>
          <w:b/>
        </w:rPr>
        <w:t xml:space="preserve">Total Scope 3 Emissions: 20.392 + 44.008 = 64.40 kgCO2e</w:t>
      </w:r>
    </w:p>
    <w:bookmarkEnd w:id="32"/>
    <w:bookmarkStart w:id="33" w:name="land-sector-and-removals-lsr-standard"/>
    <w:p>
      <w:pPr>
        <w:pStyle w:val="Heading3"/>
      </w:pPr>
      <w:r>
        <w:t xml:space="preserve">2.2. 2026 Land Sector and Removals (LSR) Standard</w:t>
      </w:r>
    </w:p>
    <w:p>
      <w:pPr>
        <w:pStyle w:val="FirstParagraph"/>
      </w:pPr>
      <w:r>
        <w:t xml:space="preserve">The GHG Protocol\'s Land Sector and Removals (LSR) Standard, released on January 30, 2026, and effective January 1, 2027, provides requirements for accounting for emissions and removals from agricultural and land use activities.</w:t>
      </w:r>
    </w:p>
    <w:p>
      <w:pPr>
        <w:pStyle w:val="BodyText"/>
      </w:pPr>
      <w:r>
        <w:t xml:space="preserve">For ioewvnrgqg, with its primary material inputs (steel, plastics, copper, PCB, cardboard) and manufacturing in China, direct land use change or agricultural emissions are not explicitly detailed in the provided BOM. However, the LSR Standard is relevant for upstream categories where raw material extraction or processing may involve land-intensive activities. While specific data for land use change associated with the raw material supply chain (e.g., mining impacts, forestry for cardboard) was not available at a granular level for this report, future analyses should endeavor to integrate such data as it becomes more readily available and required by the LSR Standard. The recycling credit applied in the EoL phase implicitly supports reduced demand for virgin materials, which can have land-related benefits. The accompanying Land Sector and Removals Guidance, expected in Q2 2026, will offer more practical direction for implementation.</w:t>
      </w:r>
    </w:p>
    <w:bookmarkEnd w:id="33"/>
    <w:bookmarkStart w:id="34" w:name="scope-3-compliance-95-coverage"/>
    <w:p>
      <w:pPr>
        <w:pStyle w:val="Heading3"/>
      </w:pPr>
      <w:r>
        <w:t xml:space="preserve">2.3. Scope 3 Compliance (95% Coverage)</w:t>
      </w:r>
    </w:p>
    <w:p>
      <w:pPr>
        <w:pStyle w:val="FirstParagraph"/>
      </w:pPr>
      <w:r>
        <w:t xml:space="preserve">The GHG Protocol\'s 2026 requirements mandate companies to account for at least 95% of their total *required* Scope 3 emissions to claim conformance, moving towards a "financial-grade, auditable system". This analysis has strived to achieve this by including all significant upstream and downstream categories, encompassing raw materials, manufacturing energy (Scope 2), transport, product use, and end-of-life.</w:t>
      </w:r>
    </w:p>
    <w:p>
      <w:pPr>
        <w:pStyle w:val="BodyText"/>
      </w:pPr>
      <w:r>
        <w:t xml:space="preserve">The categories covered are:</w:t>
      </w:r>
    </w:p>
    <w:p>
      <w:pPr>
        <w:numPr>
          <w:ilvl w:val="0"/>
          <w:numId w:val="1016"/>
        </w:numPr>
        <w:pStyle w:val="Compact"/>
      </w:pPr>
      <w:r>
        <w:t xml:space="preserve">Category 1: Purchased Goods and Services (Raw Materials)</w:t>
      </w:r>
    </w:p>
    <w:p>
      <w:pPr>
        <w:numPr>
          <w:ilvl w:val="0"/>
          <w:numId w:val="1016"/>
        </w:numPr>
        <w:pStyle w:val="Compact"/>
      </w:pPr>
      <w:r>
        <w:t xml:space="preserve">Category 4: Upstream Transportation and Distribution (Inbound Logistics)</w:t>
      </w:r>
    </w:p>
    <w:p>
      <w:pPr>
        <w:numPr>
          <w:ilvl w:val="0"/>
          <w:numId w:val="1016"/>
        </w:numPr>
        <w:pStyle w:val="Compact"/>
      </w:pPr>
      <w:r>
        <w:t xml:space="preserve">Category 9: Downstream Transportation and Distribution (Last-Mile Delivery)</w:t>
      </w:r>
    </w:p>
    <w:p>
      <w:pPr>
        <w:numPr>
          <w:ilvl w:val="0"/>
          <w:numId w:val="1016"/>
        </w:numPr>
        <w:pStyle w:val="Compact"/>
      </w:pPr>
      <w:r>
        <w:t xml:space="preserve">Category 11: Use of Sold Products (Use Phase)</w:t>
      </w:r>
    </w:p>
    <w:p>
      <w:pPr>
        <w:numPr>
          <w:ilvl w:val="0"/>
          <w:numId w:val="1016"/>
        </w:numPr>
        <w:pStyle w:val="Compact"/>
      </w:pPr>
      <w:r>
        <w:t xml:space="preserve">Category 12: End-of-Life Treatment of Sold Products (EoL)</w:t>
      </w:r>
    </w:p>
    <w:p>
      <w:pPr>
        <w:pStyle w:val="FirstParagraph"/>
      </w:pPr>
      <w:r>
        <w:t xml:space="preserve">Given the detailed BOM, energy consumption data, and comprehensive logistics and EoL scenarios provided, this report is designed to meet or exceed the 95% coverage requirement for Scope 3 emissions. Minor de minimis emissions (e.g., office supplies, minor waste streams not directly tied to product material) are considered insignificant to the overall PCF and fall within the permissible 5% exclusion threshold.</w:t>
      </w:r>
    </w:p>
    <w:p>
      <w:r>
        <w:pict>
          <v:rect style="width:0;height:1.5pt" o:hralign="center" o:hrstd="t" o:hr="t"/>
        </w:pict>
      </w:r>
    </w:p>
    <w:bookmarkEnd w:id="34"/>
    <w:bookmarkEnd w:id="35"/>
    <w:bookmarkStart w:id="38" w:name="review-report"/>
    <w:p>
      <w:pPr>
        <w:pStyle w:val="Heading2"/>
      </w:pPr>
      <w:r>
        <w:t xml:space="preserve">3. Review &amp; Report</w:t>
      </w:r>
    </w:p>
    <w:bookmarkStart w:id="36" w:name="emission-hotspots"/>
    <w:p>
      <w:pPr>
        <w:pStyle w:val="Heading3"/>
      </w:pPr>
      <w:r>
        <w:t xml:space="preserve">3.1. Emission Hotspots</w:t>
      </w:r>
    </w:p>
    <w:p>
      <w:pPr>
        <w:pStyle w:val="FirstParagraph"/>
      </w:pPr>
      <w:r>
        <w:t xml:space="preserve">The primary emission hotspots for ioewvnrgqg are identified as:</w:t>
      </w:r>
    </w:p>
    <w:p>
      <w:pPr>
        <w:numPr>
          <w:ilvl w:val="0"/>
          <w:numId w:val="1017"/>
        </w:numPr>
        <w:pStyle w:val="Compact"/>
      </w:pPr>
      <w:r>
        <w:rPr>
          <w:bCs/>
          <w:b/>
        </w:rPr>
        <w:t xml:space="preserve">Use Phase (47.50 kgCO2e):</w:t>
      </w:r>
      <w:r>
        <w:t xml:space="preserve"> </w:t>
      </w:r>
      <w:r>
        <w:t xml:space="preserve">This is the most significant contributor, largely due to the electricity consumption over the product\'s 5-year lifespan. This highlights the importance of energy efficiency during product operation and the impact of regional electricity grids.</w:t>
      </w:r>
    </w:p>
    <w:p>
      <w:pPr>
        <w:numPr>
          <w:ilvl w:val="0"/>
          <w:numId w:val="1017"/>
        </w:numPr>
        <w:pStyle w:val="Compact"/>
      </w:pPr>
      <w:r>
        <w:rPr>
          <w:bCs/>
          <w:b/>
        </w:rPr>
        <w:t xml:space="preserve">Raw Material Acquisition (18.60 kgCO2e):</w:t>
      </w:r>
      <w:r>
        <w:t xml:space="preserve"> </w:t>
      </w:r>
      <w:r>
        <w:t xml:space="preserve">The production of materials, particularly steel and the Printed Circuit Board, contributes substantially to the upstream footprint. Optimizing material selection and sourcing low-carbon materials are crucial.</w:t>
      </w:r>
    </w:p>
    <w:p>
      <w:pPr>
        <w:numPr>
          <w:ilvl w:val="0"/>
          <w:numId w:val="1017"/>
        </w:numPr>
        <w:pStyle w:val="Compact"/>
      </w:pPr>
      <w:r>
        <w:rPr>
          <w:bCs/>
          <w:b/>
        </w:rPr>
        <w:t xml:space="preserve">Manufacturing (5.22 kgCO2e):</w:t>
      </w:r>
      <w:r>
        <w:t xml:space="preserve"> </w:t>
      </w:r>
      <w:r>
        <w:t xml:space="preserve">While significant, zhvdqqixwd\'s 40% renewable energy usage already mitigates a portion of this impact. Further increasing renewable energy adoption would reduce this hotspot.</w:t>
      </w:r>
    </w:p>
    <w:bookmarkEnd w:id="36"/>
    <w:bookmarkStart w:id="37" w:name="reliability"/>
    <w:p>
      <w:pPr>
        <w:pStyle w:val="Heading3"/>
      </w:pPr>
      <w:r>
        <w:t xml:space="preserve">3.2. Reliability</w:t>
      </w:r>
    </w:p>
    <w:p>
      <w:pPr>
        <w:pStyle w:val="FirstParagraph"/>
      </w:pPr>
      <w:r>
        <w:t xml:space="preserve">The reliability of this PCF analysis is considered high due to the use of specific primary data for the Bill of Materials, production energy, transport distances, and use phase parameters. Industry-standard emission factors were used for secondary data, providing a robust basis for calculation. The comprehensive lifecycle assessment, coupled with the explicit inclusion of 2026 GHG Protocol updates, enhances the accuracy and credibility of the report. However, it\'s important to note that certain emission factors for electricity grids and transport modes are generalized or based on publicly available data, which may not capture the most granular, real-time supplier-specific emissions. Continuous engagement with the supply chain for primary data will further improve accuracy.</w:t>
      </w:r>
    </w:p>
    <w:p>
      <w:r>
        <w:pict>
          <v:rect style="width:0;height:1.5pt" o:hralign="center" o:hrstd="t" o:hr="t"/>
        </w:pict>
      </w:r>
    </w:p>
    <w:p>
      <w:pPr>
        <w:pStyle w:val="FirstParagraph"/>
      </w:pPr>
      <w:r>
        <w:t xml:space="preserve">Confidential - Internal Use Only | Page</w:t>
      </w:r>
      <w:r>
        <w:t xml:space="preserve"> </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ioewvnrgqg</dc:title>
  <dc:creator/>
  <dc:description>Detailed Product Carbon Footprint (PCF) analysis report for ioewvnrgqg, developed by Senior Sustainability Consultant ljvyqokupo for zhvdqqixwd, adhering to GHG Protocol standards and 2026 updates.</dc:description>
  <dc:language>en</dc:language>
  <cp:keywords/>
  <dcterms:created xsi:type="dcterms:W3CDTF">2026-05-30T21:11:26Z</dcterms:created>
  <dcterms:modified xsi:type="dcterms:W3CDTF">2026-05-30T21:11:26Z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