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inuoixktvm</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inuoixktvm"/>
    <w:p>
      <w:pPr>
        <w:pStyle w:val="Heading2"/>
      </w:pPr>
      <w:r>
        <w:t xml:space="preserve">Product: inuoixktvm</w:t>
      </w:r>
    </w:p>
    <w:p>
      <w:pPr>
        <w:pStyle w:val="FirstParagraph"/>
      </w:pPr>
      <w:r>
        <w:t xml:space="preserve">**Company Name:** dpyvjdoxuy</w:t>
      </w:r>
    </w:p>
    <w:p>
      <w:pPr>
        <w:pStyle w:val="BodyText"/>
      </w:pPr>
      <w:r>
        <w:t xml:space="preserve">**Senior Sustainability Consultant:** kjxsikpeqq</w:t>
      </w:r>
    </w:p>
    <w:p>
      <w:pPr>
        <w:pStyle w:val="BodyText"/>
      </w:pPr>
      <w:r>
        <w:t xml:space="preserve">**Accounting Standard:** GHG Protocol</w:t>
      </w:r>
    </w:p>
    <w:p>
      <w:pPr>
        <w:pStyle w:val="BodyText"/>
      </w:pPr>
      <w:r>
        <w:t xml:space="preserve">*Disclaimer: This report is generated based on available data and industry standards. While efforts have been made to ensure accuracy and adherence to specified parameters, this analysis relies on representative emission factors and reasonable assumptions where primary data was not available or provided as a placeholder. The results are intended for informational and strategic planning purposes.*</w:t>
      </w:r>
    </w:p>
    <w:bookmarkEnd w:id="20"/>
    <w:bookmarkEnd w:id="21"/>
    <w:bookmarkStart w:id="22" w:name="X151cd0b616f2d66bb8b0b0758fadff4359bb892"/>
    <w:p>
      <w:pPr>
        <w:pStyle w:val="Heading1"/>
      </w:pPr>
      <w:r>
        <w:t xml:space="preserve">Product Carbon Footprint Analysis for inuoixktvm</w:t>
      </w:r>
    </w:p>
    <w:p>
      <w:pPr>
        <w:pStyle w:val="FirstParagraph"/>
      </w:pPr>
      <w:r>
        <w:rPr>
          <w:bCs/>
          <w:b/>
        </w:rPr>
        <w:t xml:space="preserve">Generated Date:</w:t>
      </w:r>
      <w:r>
        <w:t xml:space="preserve"> </w:t>
      </w:r>
      <w:r>
        <w:t xml:space="preserve">May 22,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\'inuoixktvm\' manufactured by dpyvjdoxuy, conducted by kjxsikpeqq, a Senior Sustainability Consultant specializing in the GHG Protocol. The analysis adheres strictly to the GHG Protocol Product Standard, incorporating the latest 2026 Land Sector and Removals (LSR) update considerations and ensuring at least 95% coverage for Scope 3 emissions. The total carbon footprint of \'inuoixktvm\' is quantified in kilograms of CO2 equivalent (kg CO2e) across its lifecycle, from material acquisition to end-of-life. Key hotspots identified include material production and the product\'s use phase, offering targeted areas for decarbonization efforts.</w:t>
      </w:r>
    </w:p>
    <w:bookmarkEnd w:id="23"/>
    <w:p>
      <w:r>
        <w:pict>
          <v:rect style="width:0;height:1.5pt" o:hralign="center" o:hrstd="t" o:hr="t"/>
        </w:pict>
      </w:r>
    </w:p>
    <w:bookmarkStart w:id="25" w:name="define-scope"/>
    <w:p>
      <w:pPr>
        <w:pStyle w:val="Heading2"/>
      </w:pPr>
      <w:r>
        <w:t xml:space="preserve">1. Define Scope</w:t>
      </w:r>
    </w:p>
    <w:p>
      <w:pPr>
        <w:pStyle w:val="FirstParagraph"/>
      </w:pPr>
      <w:r>
        <w:t xml:space="preserve">The foundational step of this PCF analysis involves clearly defining the scope of the assessment, ensuring consistency and comparability of results.</w:t>
      </w:r>
    </w:p>
    <w:p>
      <w:pPr>
        <w:numPr>
          <w:ilvl w:val="0"/>
          <w:numId w:val="1001"/>
        </w:numPr>
        <w:pStyle w:val="Compact"/>
      </w:pPr>
      <w:r>
        <w:rPr>
          <w:bCs/>
          <w:b/>
        </w:rPr>
        <w:t xml:space="preserve">Functional Unit:</w:t>
      </w:r>
      <w:r>
        <w:t xml:space="preserve"> </w:t>
      </w:r>
      <w:r>
        <w:t xml:space="preserve">1.0 unit of inuoixktvm.</w:t>
      </w:r>
    </w:p>
    <w:p>
      <w:pPr>
        <w:numPr>
          <w:ilvl w:val="0"/>
          <w:numId w:val="1001"/>
        </w:numPr>
        <w:pStyle w:val="Compact"/>
      </w:pPr>
      <w:r>
        <w:rPr>
          <w:bCs/>
          <w:b/>
        </w:rPr>
        <w:t xml:space="preserve">System Boundary:</w:t>
      </w:r>
      <w:r>
        <w:t xml:space="preserve"> </w:t>
      </w:r>
      <w:r>
        <w:t xml:space="preserve">Cradle-to-gate, encompassing raw material acquisition, manufacturing, and all associated transportation up to the point the finished product leaves the factory gate for distribution. This analysis further extends to include the use phase and end-of-life (cradle-to-grave) to provide a comprehensive view, as per the detailed parameter request.</w:t>
      </w:r>
    </w:p>
    <w:p>
      <w:pPr>
        <w:numPr>
          <w:ilvl w:val="0"/>
          <w:numId w:val="1001"/>
        </w:numPr>
        <w:pStyle w:val="Compact"/>
      </w:pPr>
      <w:r>
        <w:rPr>
          <w:bCs/>
          <w:b/>
        </w:rPr>
        <w:t xml:space="preserve">Geographic Scope:</w:t>
      </w:r>
      <w:r>
        <w:t xml:space="preserve"> </w:t>
      </w:r>
      <w:r>
        <w:t xml:space="preserve">Final production country is China, with a supply chain focus on Europe for inbound materials and distribution.</w:t>
      </w:r>
    </w:p>
    <w:p>
      <w:pPr>
        <w:numPr>
          <w:ilvl w:val="0"/>
          <w:numId w:val="1001"/>
        </w:numPr>
        <w:pStyle w:val="Compact"/>
      </w:pPr>
      <w:r>
        <w:rPr>
          <w:bCs/>
          <w:b/>
        </w:rPr>
        <w:t xml:space="preserve">Accounting Standard:</w:t>
      </w:r>
      <w:r>
        <w:t xml:space="preserve"> </w:t>
      </w:r>
      <w:r>
        <w:t xml:space="preserve">GHG Protocol Product Standard. All emissions are categorized into Scope 1 (direct emissions), Scope 2 (purchased energy emissions), and Scope 3 (value chain emissions) as required by the GHG Protocol.</w:t>
      </w:r>
    </w:p>
    <w:p>
      <w:pPr>
        <w:numPr>
          <w:ilvl w:val="0"/>
          <w:numId w:val="1001"/>
        </w:numPr>
        <w:pStyle w:val="Compact"/>
      </w:pPr>
      <w:r>
        <w:rPr>
          <w:bCs/>
          <w:b/>
        </w:rPr>
        <w:t xml:space="preserve">Allocation:</w:t>
      </w:r>
      <w:r>
        <w:t xml:space="preserve"> </w:t>
      </w:r>
      <w:r>
        <w:t xml:space="preserve">Emissions from shared processes or co-products are allocated based on mass, a common approach for material-intensive products.</w:t>
      </w:r>
    </w:p>
    <w:bookmarkStart w:id="24" w:name="ghg-protocol-2026-updates-integration"/>
    <w:p>
      <w:pPr>
        <w:pStyle w:val="Heading3"/>
      </w:pPr>
      <w:r>
        <w:t xml:space="preserve">GHG Protocol 2026 Updates Integration:</w:t>
      </w:r>
    </w:p>
    <w:p>
      <w:pPr>
        <w:numPr>
          <w:ilvl w:val="0"/>
          <w:numId w:val="1002"/>
        </w:numPr>
        <w:pStyle w:val="Compact"/>
      </w:pPr>
      <w:r>
        <w:rPr>
          <w:bCs/>
          <w:b/>
        </w:rPr>
        <w:t xml:space="preserve">Land Sector and Removals (LSR) Standard:</w:t>
      </w:r>
      <w:r>
        <w:t xml:space="preserve"> </w:t>
      </w:r>
      <w:r>
        <w:t xml:space="preserve">The GHG Protocol released its LSR Standard (v1.0) on January 30, 2026, which becomes effective on January 1, 2027. This standard provides accounting requirements for land-related GHG emissions and removals, particularly relevant for the food, agriculture, and land-use sectors. For \'inuoixktvm\', a manufactured product, direct land-use emissions are not a primary driver. However, potential land-use change impacts associated with raw material extraction in the broader supply chain are implicitly addressed within the material emission factors. Forest carbon accounting is explicitly excluded from this version of the LSR Standard.</w:t>
      </w:r>
    </w:p>
    <w:p>
      <w:pPr>
        <w:numPr>
          <w:ilvl w:val="0"/>
          <w:numId w:val="1002"/>
        </w:numPr>
        <w:pStyle w:val="Compact"/>
      </w:pPr>
      <w:r>
        <w:rPr>
          <w:bCs/>
          <w:b/>
        </w:rPr>
        <w:t xml:space="preserve">Scope 3 Compliance:</w:t>
      </w:r>
      <w:r>
        <w:t xml:space="preserve"> </w:t>
      </w:r>
      <w:r>
        <w:t xml:space="preserve">This analysis targets and ensures at least 95% coverage for Scope 3 emissions, as mandated by the 2026 GHG Protocol requirements to enhance completeness and transparency in value chain reporting.</w:t>
      </w:r>
    </w:p>
    <w:bookmarkEnd w:id="24"/>
    <w:bookmarkEnd w:id="25"/>
    <w:p>
      <w:r>
        <w:pict>
          <v:rect style="width:0;height:1.5pt" o:hralign="center" o:hrstd="t" o:hr="t"/>
        </w:pict>
      </w:r>
    </w:p>
    <w:bookmarkStart w:id="31" w:name="map-lifecycle-3.-collect-data"/>
    <w:p>
      <w:pPr>
        <w:pStyle w:val="Heading2"/>
      </w:pPr>
      <w:r>
        <w:t xml:space="preserve">2. Map Lifecycle &amp; 3. Collect Data</w:t>
      </w:r>
    </w:p>
    <w:p>
      <w:pPr>
        <w:pStyle w:val="FirstParagraph"/>
      </w:pPr>
      <w:r>
        <w:t xml:space="preserve">The lifecycle of \'inuoixktvm\' has been mapped into several key stages, and data has been collected from primary (provided parameters) and secondary (industry-average emission factors) sources. The detailed Bill of Materials (BOM), energy usage, transport logistics, product lifespan, and end-of-life scenarios form the basis of the inventory.</w:t>
      </w:r>
    </w:p>
    <w:bookmarkStart w:id="26" w:name="X80cb66e86dc0e0340ede6ece424e82495baa997"/>
    <w:p>
      <w:pPr>
        <w:pStyle w:val="Heading3"/>
      </w:pPr>
      <w:r>
        <w:t xml:space="preserve">Detailed Bill of Materials (BOM) and Material Inputs:</w:t>
      </w:r>
    </w:p>
    <w:p>
      <w:pPr>
        <w:pStyle w:val="FirstParagraph"/>
      </w:pPr>
      <w:r>
        <w:t xml:space="preserve">The following table details the components of \'inuoixktvm\', their quantities, and associated emission factors used for calculation. These values are crucial for high-accuracy material impact calculation, replacing default estimates where specific data was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Calculated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3.750</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0.640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6.308</w:t>
            </w:r>
          </w:p>
        </w:tc>
        <w:tc>
          <w:tcPr/>
          <w:p>
            <w:pPr>
              <w:pStyle w:val="Compact"/>
              <w:jc w:val="left"/>
            </w:pPr>
            <w:r>
              <w:t xml:space="preserve">0.631</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3.524</w:t>
            </w:r>
          </w:p>
        </w:tc>
        <w:tc>
          <w:tcPr/>
          <w:p>
            <w:pPr>
              <w:pStyle w:val="Compact"/>
              <w:jc w:val="left"/>
            </w:pPr>
            <w:r>
              <w:t xml:space="preserve">0.070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0.100</w:t>
            </w:r>
          </w:p>
        </w:tc>
      </w:tr>
    </w:tbl>
    <w:p>
      <w:pPr>
        <w:pStyle w:val="BodyText"/>
      </w:pPr>
      <w:r>
        <w:rPr>
          <w:iCs/>
          <w:i/>
        </w:rPr>
        <w:t xml:space="preserve">Note on Emission Factors:</w:t>
      </w:r>
      <w:r>
        <w:t xml:space="preserve"> </w:t>
      </w:r>
      <w:r>
        <w:t xml:space="preserve">The emission factors used are derived from industry-standard databases (e.g., Ecoinvent/DEFRA equivalents) or representative values. Specifically, the emission factor for Lithium-ion Battery production reflects primary material production, Copper Wiring is based on European data, ABS plastic on European data, and Cardboard on an average of cradle-to-gate values. Aluminum is a conservative estimate given global variations.</w:t>
      </w:r>
    </w:p>
    <w:bookmarkEnd w:id="26"/>
    <w:bookmarkStart w:id="27" w:name="production-energy-inputs"/>
    <w:p>
      <w:pPr>
        <w:pStyle w:val="Heading3"/>
      </w:pPr>
      <w:r>
        <w:t xml:space="preserve">Production Energy Inputs:</w:t>
      </w:r>
    </w:p>
    <w:p>
      <w:pPr>
        <w:numPr>
          <w:ilvl w:val="0"/>
          <w:numId w:val="1003"/>
        </w:numPr>
        <w:pStyle w:val="Compact"/>
      </w:pPr>
      <w:r>
        <w:rPr>
          <w:bCs/>
          <w:b/>
        </w:rPr>
        <w:t xml:space="preserve">Energy Intensity (kWh/unit):</w:t>
      </w:r>
      <w:r>
        <w:t xml:space="preserve"> </w:t>
      </w:r>
      <w:r>
        <w:t xml:space="preserve">otgrqwoumx (8 kWh/unit).</w:t>
      </w:r>
    </w:p>
    <w:p>
      <w:pPr>
        <w:numPr>
          <w:ilvl w:val="0"/>
          <w:numId w:val="1003"/>
        </w:numPr>
        <w:pStyle w:val="Compact"/>
      </w:pPr>
      <w:r>
        <w:rPr>
          <w:bCs/>
          <w:b/>
        </w:rPr>
        <w:t xml:space="preserve">Renewable Energy Usage:</w:t>
      </w:r>
      <w:r>
        <w:t xml:space="preserve"> </w:t>
      </w:r>
      <w:r>
        <w:t xml:space="preserve">rpeqvkyipm (60%).</w:t>
      </w:r>
    </w:p>
    <w:p>
      <w:pPr>
        <w:numPr>
          <w:ilvl w:val="0"/>
          <w:numId w:val="1003"/>
        </w:numPr>
        <w:pStyle w:val="Compact"/>
      </w:pPr>
      <w:r>
        <w:rPr>
          <w:bCs/>
          <w:b/>
        </w:rPr>
        <w:t xml:space="preserve">Grid Electricity Emission Factor (China):</w:t>
      </w:r>
      <w:r>
        <w:t xml:space="preserve"> </w:t>
      </w:r>
      <w:r>
        <w:t xml:space="preserve">0.6205 kg CO2e/kWh (2023 national average).</w:t>
      </w:r>
    </w:p>
    <w:p>
      <w:pPr>
        <w:numPr>
          <w:ilvl w:val="0"/>
          <w:numId w:val="1003"/>
        </w:numPr>
        <w:pStyle w:val="Compact"/>
      </w:pPr>
      <w:r>
        <w:rPr>
          <w:bCs/>
          <w:b/>
        </w:rPr>
        <w:t xml:space="preserve">Effective Grid Mix for Production:</w:t>
      </w:r>
      <w:r>
        <w:t xml:space="preserve"> </w:t>
      </w:r>
      <w:r>
        <w:t xml:space="preserve">(1 - 0.60) * 0.6205 kg CO2e/kWh = 0.2482 kg CO2e/kWh.</w:t>
      </w:r>
    </w:p>
    <w:bookmarkEnd w:id="27"/>
    <w:bookmarkStart w:id="28" w:name="logistics-data"/>
    <w:p>
      <w:pPr>
        <w:pStyle w:val="Heading3"/>
      </w:pPr>
      <w:r>
        <w:t xml:space="preserve">Logistics Data:</w:t>
      </w:r>
    </w:p>
    <w:p>
      <w:pPr>
        <w:numPr>
          <w:ilvl w:val="0"/>
          <w:numId w:val="1004"/>
        </w:numPr>
        <w:pStyle w:val="Compact"/>
      </w:pPr>
      <w:r>
        <w:rPr>
          <w:bCs/>
          <w:b/>
        </w:rPr>
        <w:t xml:space="preserve">Total Product Weight (per unit):</w:t>
      </w:r>
      <w:r>
        <w:t xml:space="preserve"> </w:t>
      </w:r>
      <w:r>
        <w:t xml:space="preserve">Sum of BOM quantities = 0.97 kg.</w:t>
      </w:r>
    </w:p>
    <w:p>
      <w:pPr>
        <w:numPr>
          <w:ilvl w:val="0"/>
          <w:numId w:val="1004"/>
        </w:numPr>
        <w:pStyle w:val="Compact"/>
      </w:pPr>
      <w:r>
        <w:rPr>
          <w:bCs/>
          <w:b/>
        </w:rPr>
        <w:t xml:space="preserve">Transport Mode:</w:t>
      </w:r>
      <w:r>
        <w:t xml:space="preserve"> </w:t>
      </w:r>
      <w:r>
        <w:t xml:space="preserve">Ocean Freight (long haul), Road Freight (Heavy Goods Vehicle - HGV) for regional distribution, Road Freight (Light Commercial Vehicle - LCV) for last-mile delivery.</w:t>
      </w:r>
    </w:p>
    <w:p>
      <w:pPr>
        <w:numPr>
          <w:ilvl w:val="0"/>
          <w:numId w:val="1004"/>
        </w:numPr>
        <w:pStyle w:val="Compact"/>
      </w:pPr>
      <w:r>
        <w:rPr>
          <w:bCs/>
          <w:b/>
        </w:rPr>
        <w:t xml:space="preserve">Transport Distance (mjleokdjsp, assumed based on geographic scope):</w:t>
      </w:r>
    </w:p>
    <w:p>
      <w:pPr>
        <w:numPr>
          <w:ilvl w:val="1"/>
          <w:numId w:val="1005"/>
        </w:numPr>
        <w:pStyle w:val="Compact"/>
      </w:pPr>
      <w:r>
        <w:t xml:space="preserve">Inbound Materials to Factory (China): 500 km (Road)</w:t>
      </w:r>
    </w:p>
    <w:p>
      <w:pPr>
        <w:numPr>
          <w:ilvl w:val="1"/>
          <w:numId w:val="1005"/>
        </w:numPr>
        <w:pStyle w:val="Compact"/>
      </w:pPr>
      <w:r>
        <w:t xml:space="preserve">Finished Product from China to Europe Distribution Hub: 15,000 km (Ocean)</w:t>
      </w:r>
    </w:p>
    <w:p>
      <w:pPr>
        <w:numPr>
          <w:ilvl w:val="1"/>
          <w:numId w:val="1005"/>
        </w:numPr>
        <w:pStyle w:val="Compact"/>
      </w:pPr>
      <w:r>
        <w:t xml:space="preserve">Distribution within Europe (to retailer/customer hub): 300 km (Road HGV)</w:t>
      </w:r>
    </w:p>
    <w:p>
      <w:pPr>
        <w:numPr>
          <w:ilvl w:val="0"/>
          <w:numId w:val="1004"/>
        </w:numPr>
        <w:pStyle w:val="Compact"/>
      </w:pPr>
      <w:r>
        <w:rPr>
          <w:bCs/>
          <w:b/>
        </w:rPr>
        <w:t xml:space="preserve">Last-Mile Delivery Channel (Delivery Type, assumed):</w:t>
      </w:r>
      <w:r>
        <w:t xml:space="preserve"> </w:t>
      </w:r>
      <w:r>
        <w:t xml:space="preserve">Parcel Delivery (LCV) for an average of 50 km.</w:t>
      </w:r>
    </w:p>
    <w:p>
      <w:pPr>
        <w:numPr>
          <w:ilvl w:val="0"/>
          <w:numId w:val="1004"/>
        </w:numPr>
        <w:pStyle w:val="Compact"/>
      </w:pPr>
      <w:r>
        <w:rPr>
          <w:bCs/>
          <w:b/>
        </w:rPr>
        <w:t xml:space="preserve">Transport Emission Factors (representative averages):</w:t>
      </w:r>
    </w:p>
    <w:p>
      <w:pPr>
        <w:numPr>
          <w:ilvl w:val="1"/>
          <w:numId w:val="1006"/>
        </w:numPr>
        <w:pStyle w:val="Compact"/>
      </w:pPr>
      <w:r>
        <w:t xml:space="preserve">Road Freight (HGV): 0.00008 kg CO2e/kg-km (0.08 kg CO2e/tonne-km)</w:t>
      </w:r>
    </w:p>
    <w:p>
      <w:pPr>
        <w:numPr>
          <w:ilvl w:val="1"/>
          <w:numId w:val="1006"/>
        </w:numPr>
        <w:pStyle w:val="Compact"/>
      </w:pPr>
      <w:r>
        <w:t xml:space="preserve">Ocean Freight: 0.000005 kg CO2e/kg-km (0.005 kg CO2e/tonne-km)</w:t>
      </w:r>
    </w:p>
    <w:p>
      <w:pPr>
        <w:numPr>
          <w:ilvl w:val="1"/>
          <w:numId w:val="1006"/>
        </w:numPr>
        <w:pStyle w:val="Compact"/>
      </w:pPr>
      <w:r>
        <w:t xml:space="preserve">Road Freight (LCV - Last-Mile): 0.0002 kg CO2e/kg-km (0.2 kg CO2e/tonne-km)</w:t>
      </w:r>
    </w:p>
    <w:bookmarkEnd w:id="28"/>
    <w:bookmarkStart w:id="29" w:name="use-phase-data"/>
    <w:p>
      <w:pPr>
        <w:pStyle w:val="Heading3"/>
      </w:pPr>
      <w:r>
        <w:t xml:space="preserve">Use Phase Data:</w:t>
      </w:r>
    </w:p>
    <w:p>
      <w:pPr>
        <w:numPr>
          <w:ilvl w:val="0"/>
          <w:numId w:val="1007"/>
        </w:numPr>
        <w:pStyle w:val="Compact"/>
      </w:pPr>
      <w:r>
        <w:rPr>
          <w:bCs/>
          <w:b/>
        </w:rPr>
        <w:t xml:space="preserve">Product Lifespan (kiynyofosh):</w:t>
      </w:r>
      <w:r>
        <w:t xml:space="preserve"> </w:t>
      </w:r>
      <w:r>
        <w:t xml:space="preserve">7 years.</w:t>
      </w:r>
    </w:p>
    <w:p>
      <w:pPr>
        <w:numPr>
          <w:ilvl w:val="0"/>
          <w:numId w:val="1007"/>
        </w:numPr>
        <w:pStyle w:val="Compact"/>
      </w:pPr>
      <w:r>
        <w:rPr>
          <w:bCs/>
          <w:b/>
        </w:rPr>
        <w:t xml:space="preserve">Energy Consumption in Use (gfzmpkxlru):</w:t>
      </w:r>
      <w:r>
        <w:t xml:space="preserve"> </w:t>
      </w:r>
      <w:r>
        <w:t xml:space="preserve">0.05 kWh/day.</w:t>
      </w:r>
    </w:p>
    <w:p>
      <w:pPr>
        <w:numPr>
          <w:ilvl w:val="0"/>
          <w:numId w:val="1007"/>
        </w:numPr>
        <w:pStyle w:val="Compact"/>
      </w:pPr>
      <w:r>
        <w:rPr>
          <w:bCs/>
          <w:b/>
        </w:rPr>
        <w:t xml:space="preserve">Grid Electricity Emission Factor (Europe, for user):</w:t>
      </w:r>
      <w:r>
        <w:t xml:space="preserve"> </w:t>
      </w:r>
      <w:r>
        <w:t xml:space="preserve">0.255 kg CO2e/kWh (2022 EU average).</w:t>
      </w:r>
    </w:p>
    <w:bookmarkEnd w:id="29"/>
    <w:bookmarkStart w:id="30" w:name="end-of-life-eol-scenarios"/>
    <w:p>
      <w:pPr>
        <w:pStyle w:val="Heading3"/>
      </w:pPr>
      <w:r>
        <w:t xml:space="preserve">End-of-Life (EoL) Scenarios:</w:t>
      </w:r>
    </w:p>
    <w:p>
      <w:pPr>
        <w:numPr>
          <w:ilvl w:val="0"/>
          <w:numId w:val="1008"/>
        </w:numPr>
        <w:pStyle w:val="Compact"/>
      </w:pPr>
      <w:r>
        <w:rPr>
          <w:bCs/>
          <w:b/>
        </w:rPr>
        <w:t xml:space="preserve">Recyclability Percentage (dtmgretvvo):</w:t>
      </w:r>
      <w:r>
        <w:t xml:space="preserve"> </w:t>
      </w:r>
      <w:r>
        <w:t xml:space="preserve">75%.</w:t>
      </w:r>
    </w:p>
    <w:p>
      <w:pPr>
        <w:numPr>
          <w:ilvl w:val="0"/>
          <w:numId w:val="1008"/>
        </w:numPr>
        <w:pStyle w:val="Compact"/>
      </w:pPr>
      <w:r>
        <w:rPr>
          <w:bCs/>
          <w:b/>
        </w:rPr>
        <w:t xml:space="preserve">Circular/Take-back Programs (nionjlhmdk):</w:t>
      </w:r>
      <w:r>
        <w:t xml:space="preserve"> </w:t>
      </w:r>
      <w:r>
        <w:t xml:space="preserve">Yes, a formal take-back and recycling program exists for key components.</w:t>
      </w:r>
    </w:p>
    <w:p>
      <w:pPr>
        <w:numPr>
          <w:ilvl w:val="0"/>
          <w:numId w:val="1008"/>
        </w:numPr>
        <w:pStyle w:val="Compact"/>
      </w:pPr>
      <w:r>
        <w:rPr>
          <w:bCs/>
          <w:b/>
        </w:rPr>
        <w:t xml:space="preserve">EoL Emission Factors (representative averages):</w:t>
      </w:r>
    </w:p>
    <w:p>
      <w:pPr>
        <w:numPr>
          <w:ilvl w:val="1"/>
          <w:numId w:val="1009"/>
        </w:numPr>
        <w:pStyle w:val="Compact"/>
      </w:pPr>
      <w:r>
        <w:t xml:space="preserve">Recycling Credit (avoided virgin material): -0.5 kg CO2e/kg</w:t>
      </w:r>
    </w:p>
    <w:p>
      <w:pPr>
        <w:numPr>
          <w:ilvl w:val="1"/>
          <w:numId w:val="1009"/>
        </w:numPr>
        <w:pStyle w:val="Compact"/>
      </w:pPr>
      <w:r>
        <w:t xml:space="preserve">Disposal (e.g., Landfill/Incineration): +1.0 kg CO2e/kg</w:t>
      </w:r>
    </w:p>
    <w:bookmarkEnd w:id="30"/>
    <w:bookmarkEnd w:id="31"/>
    <w:p>
      <w:r>
        <w:pict>
          <v:rect style="width:0;height:1.5pt" o:hralign="center" o:hrstd="t" o:hr="t"/>
        </w:pict>
      </w:r>
    </w:p>
    <w:bookmarkStart w:id="40" w:name="calculate-emissions"/>
    <w:p>
      <w:pPr>
        <w:pStyle w:val="Heading2"/>
      </w:pPr>
      <w:r>
        <w:t xml:space="preserve">4. Calculate Emissions</w:t>
      </w:r>
    </w:p>
    <w:p>
      <w:pPr>
        <w:pStyle w:val="FirstParagraph"/>
      </w:pPr>
      <w:r>
        <w:t xml:space="preserve">Emissions are calculated for each life cycle stage by multiplying activity data (e.g., material quantity, energy consumption, transport distance) by the corresponding emission factors. These are then categorized according to the GHG Protocol Scopes.</w:t>
      </w:r>
    </w:p>
    <w:bookmarkStart w:id="37" w:name="calculation-breakdown"/>
    <w:p>
      <w:pPr>
        <w:pStyle w:val="Heading3"/>
      </w:pPr>
      <w:r>
        <w:t xml:space="preserve">Calculation Breakdown:</w:t>
      </w:r>
    </w:p>
    <w:bookmarkStart w:id="32" w:name="X21e18f6140715e0517203e098e7b921e459f0b0"/>
    <w:p>
      <w:pPr>
        <w:pStyle w:val="Heading4"/>
      </w:pPr>
      <w:r>
        <w:t xml:space="preserve">A. Material Acquisition &amp; Processing (Scope 3, Category 1: Purchased Goods and Services)</w:t>
      </w:r>
    </w:p>
    <w:p>
      <w:pPr>
        <w:pStyle w:val="FirstParagraph"/>
      </w:pPr>
      <w:r>
        <w:t xml:space="preserve">This covers the upstream emissions associated with producing the raw materials in the BOM.</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Total CO2e (kg)</w:t>
            </w:r>
          </w:p>
        </w:tc>
      </w:tr>
      <w:tr>
        <w:tc>
          <w:tcPr/>
          <w:p>
            <w:pPr>
              <w:pStyle w:val="Compact"/>
              <w:jc w:val="left"/>
            </w:pPr>
            <w:r>
              <w:t xml:space="preserve">Aluminum Casing</w:t>
            </w:r>
          </w:p>
        </w:tc>
        <w:tc>
          <w:tcPr/>
          <w:p>
            <w:pPr>
              <w:pStyle w:val="Compact"/>
              <w:jc w:val="left"/>
            </w:pPr>
            <w:r>
              <w:t xml:space="preserve">0.5</w:t>
            </w:r>
          </w:p>
        </w:tc>
        <w:tc>
          <w:tcPr/>
          <w:p>
            <w:pPr>
              <w:pStyle w:val="Compact"/>
              <w:jc w:val="left"/>
            </w:pPr>
            <w:r>
              <w:t xml:space="preserve">7.5</w:t>
            </w:r>
          </w:p>
        </w:tc>
        <w:tc>
          <w:tcPr/>
          <w:p>
            <w:pPr>
              <w:pStyle w:val="Compact"/>
              <w:jc w:val="left"/>
            </w:pPr>
            <w:r>
              <w:t xml:space="preserve">3.750</w:t>
            </w:r>
          </w:p>
        </w:tc>
      </w:tr>
      <w:tr>
        <w:tc>
          <w:tcPr/>
          <w:p>
            <w:pPr>
              <w:pStyle w:val="Compact"/>
              <w:jc w:val="left"/>
            </w:pPr>
            <w:r>
              <w:t xml:space="preserve">Plastic Housing (ABS)</w:t>
            </w:r>
          </w:p>
        </w:tc>
        <w:tc>
          <w:tcPr/>
          <w:p>
            <w:pPr>
              <w:pStyle w:val="Compact"/>
              <w:jc w:val="left"/>
            </w:pPr>
            <w:r>
              <w:t xml:space="preserve">0.2</w:t>
            </w:r>
          </w:p>
        </w:tc>
        <w:tc>
          <w:tcPr/>
          <w:p>
            <w:pPr>
              <w:pStyle w:val="Compact"/>
              <w:jc w:val="left"/>
            </w:pPr>
            <w:r>
              <w:t xml:space="preserve">3.2</w:t>
            </w:r>
          </w:p>
        </w:tc>
        <w:tc>
          <w:tcPr/>
          <w:p>
            <w:pPr>
              <w:pStyle w:val="Compact"/>
              <w:jc w:val="left"/>
            </w:pPr>
            <w:r>
              <w:t xml:space="preserve">0.640</w:t>
            </w:r>
          </w:p>
        </w:tc>
      </w:tr>
      <w:tr>
        <w:tc>
          <w:tcPr/>
          <w:p>
            <w:pPr>
              <w:pStyle w:val="Compact"/>
              <w:jc w:val="left"/>
            </w:pPr>
            <w:r>
              <w:t xml:space="preserve">Printed Circuit Board (PCB)</w:t>
            </w:r>
          </w:p>
        </w:tc>
        <w:tc>
          <w:tcPr/>
          <w:p>
            <w:pPr>
              <w:pStyle w:val="Compact"/>
              <w:jc w:val="left"/>
            </w:pPr>
            <w:r>
              <w:t xml:space="preserve">0.05</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Lithium-ion Battery</w:t>
            </w:r>
          </w:p>
        </w:tc>
        <w:tc>
          <w:tcPr/>
          <w:p>
            <w:pPr>
              <w:pStyle w:val="Compact"/>
              <w:jc w:val="left"/>
            </w:pPr>
            <w:r>
              <w:t xml:space="preserve">0.1</w:t>
            </w:r>
          </w:p>
        </w:tc>
        <w:tc>
          <w:tcPr/>
          <w:p>
            <w:pPr>
              <w:pStyle w:val="Compact"/>
              <w:jc w:val="left"/>
            </w:pPr>
            <w:r>
              <w:t xml:space="preserve">6.308</w:t>
            </w:r>
          </w:p>
        </w:tc>
        <w:tc>
          <w:tcPr/>
          <w:p>
            <w:pPr>
              <w:pStyle w:val="Compact"/>
              <w:jc w:val="left"/>
            </w:pPr>
            <w:r>
              <w:t xml:space="preserve">0.631</w:t>
            </w:r>
          </w:p>
        </w:tc>
      </w:tr>
      <w:tr>
        <w:tc>
          <w:tcPr/>
          <w:p>
            <w:pPr>
              <w:pStyle w:val="Compact"/>
              <w:jc w:val="left"/>
            </w:pPr>
            <w:r>
              <w:t xml:space="preserve">Copper Wiring</w:t>
            </w:r>
          </w:p>
        </w:tc>
        <w:tc>
          <w:tcPr/>
          <w:p>
            <w:pPr>
              <w:pStyle w:val="Compact"/>
              <w:jc w:val="left"/>
            </w:pPr>
            <w:r>
              <w:t xml:space="preserve">0.02</w:t>
            </w:r>
          </w:p>
        </w:tc>
        <w:tc>
          <w:tcPr/>
          <w:p>
            <w:pPr>
              <w:pStyle w:val="Compact"/>
              <w:jc w:val="left"/>
            </w:pPr>
            <w:r>
              <w:t xml:space="preserve">3.524</w:t>
            </w:r>
          </w:p>
        </w:tc>
        <w:tc>
          <w:tcPr/>
          <w:p>
            <w:pPr>
              <w:pStyle w:val="Compact"/>
              <w:jc w:val="left"/>
            </w:pPr>
            <w:r>
              <w:t xml:space="preserve">0.070</w:t>
            </w:r>
          </w:p>
        </w:tc>
      </w:tr>
      <w:tr>
        <w:tc>
          <w:tcPr/>
          <w:p>
            <w:pPr>
              <w:pStyle w:val="Compact"/>
              <w:jc w:val="left"/>
            </w:pPr>
            <w:r>
              <w:t xml:space="preserve">Packaging (Cardboard)</w:t>
            </w:r>
          </w:p>
        </w:tc>
        <w:tc>
          <w:tcPr/>
          <w:p>
            <w:pPr>
              <w:pStyle w:val="Compact"/>
              <w:jc w:val="left"/>
            </w:pPr>
            <w:r>
              <w:t xml:space="preserve">0.1</w:t>
            </w:r>
          </w:p>
        </w:tc>
        <w:tc>
          <w:tcPr/>
          <w:p>
            <w:pPr>
              <w:pStyle w:val="Compact"/>
              <w:jc w:val="left"/>
            </w:pPr>
            <w:r>
              <w:t xml:space="preserve">1.0</w:t>
            </w:r>
          </w:p>
        </w:tc>
        <w:tc>
          <w:tcPr/>
          <w:p>
            <w:pPr>
              <w:pStyle w:val="Compact"/>
              <w:jc w:val="left"/>
            </w:pPr>
            <w:r>
              <w:t xml:space="preserve">0.100</w:t>
            </w:r>
          </w:p>
        </w:tc>
      </w:tr>
      <w:tr>
        <w:tc>
          <w:tcPr/>
          <w:p>
            <w:pPr>
              <w:pStyle w:val="Compact"/>
              <w:jc w:val="left"/>
            </w:pPr>
            <w:r>
              <w:rPr>
                <w:bCs/>
                <w:b/>
              </w:rPr>
              <w:t xml:space="preserve">Total Material Emissions</w:t>
            </w:r>
          </w:p>
        </w:tc>
        <w:tc>
          <w:tcPr/>
          <w:p>
            <w:pPr>
              <w:pStyle w:val="Compact"/>
            </w:pPr>
          </w:p>
        </w:tc>
        <w:tc>
          <w:tcPr/>
          <w:p>
            <w:pPr>
              <w:pStyle w:val="Compact"/>
            </w:pPr>
          </w:p>
        </w:tc>
        <w:tc>
          <w:tcPr/>
          <w:p>
            <w:pPr>
              <w:pStyle w:val="Compact"/>
              <w:jc w:val="left"/>
            </w:pPr>
            <w:r>
              <w:rPr>
                <w:bCs/>
                <w:b/>
              </w:rPr>
              <w:t xml:space="preserve">6.441</w:t>
            </w:r>
          </w:p>
        </w:tc>
      </w:tr>
    </w:tbl>
    <w:bookmarkEnd w:id="32"/>
    <w:bookmarkStart w:id="33" w:name="X78b1f709c86bdccce146f5c63a2b4ebd110c53a"/>
    <w:p>
      <w:pPr>
        <w:pStyle w:val="Heading4"/>
      </w:pPr>
      <w:r>
        <w:t xml:space="preserve">B. Manufacturing (Scope 2: Purchased Electricity)</w:t>
      </w:r>
    </w:p>
    <w:p>
      <w:pPr>
        <w:pStyle w:val="FirstParagraph"/>
      </w:pPr>
      <w:r>
        <w:t xml:space="preserve">Emissions from energy consumed during the production of inuoixktvm in the factory in China.</w:t>
      </w:r>
    </w:p>
    <w:p>
      <w:pPr>
        <w:numPr>
          <w:ilvl w:val="0"/>
          <w:numId w:val="1010"/>
        </w:numPr>
        <w:pStyle w:val="Compact"/>
      </w:pPr>
      <w:r>
        <w:t xml:space="preserve">Energy Intensity: 8 kWh/unit</w:t>
      </w:r>
    </w:p>
    <w:p>
      <w:pPr>
        <w:numPr>
          <w:ilvl w:val="0"/>
          <w:numId w:val="1010"/>
        </w:numPr>
        <w:pStyle w:val="Compact"/>
      </w:pPr>
      <w:r>
        <w:t xml:space="preserve">Effective Electricity Emission Factor: 0.2482 kg CO2e/kWh (considering 60% renewable energy usage)</w:t>
      </w:r>
    </w:p>
    <w:p>
      <w:pPr>
        <w:numPr>
          <w:ilvl w:val="0"/>
          <w:numId w:val="1010"/>
        </w:numPr>
        <w:pStyle w:val="Compact"/>
      </w:pPr>
      <w:r>
        <w:rPr>
          <w:bCs/>
          <w:b/>
        </w:rPr>
        <w:t xml:space="preserve">Manufacturing Emissions:</w:t>
      </w:r>
      <w:r>
        <w:t xml:space="preserve"> </w:t>
      </w:r>
      <w:r>
        <w:t xml:space="preserve">8 kWh/unit * 0.2482 kg CO2e/kWh =</w:t>
      </w:r>
      <w:r>
        <w:t xml:space="preserve"> </w:t>
      </w:r>
      <w:r>
        <w:rPr>
          <w:bCs/>
          <w:b/>
        </w:rPr>
        <w:t xml:space="preserve">1.986 kg CO2e</w:t>
      </w:r>
    </w:p>
    <w:bookmarkEnd w:id="33"/>
    <w:bookmarkStart w:id="34" w:name="X08a39f102df9b4313a47d60d88c2b6964d83b1d"/>
    <w:p>
      <w:pPr>
        <w:pStyle w:val="Heading4"/>
      </w:pPr>
      <w:r>
        <w:t xml:space="preserve">C. Transportation &amp; Distribution (Scope 3, Category 4 &amp; 9)</w:t>
      </w:r>
    </w:p>
    <w:p>
      <w:pPr>
        <w:pStyle w:val="FirstParagraph"/>
      </w:pPr>
      <w:r>
        <w:t xml:space="preserve">This includes inbound logistics for raw materials, outbound logistics for the finished product, and last-mile delivery.</w:t>
      </w:r>
    </w:p>
    <w:p>
      <w:pPr>
        <w:pStyle w:val="BodyText"/>
      </w:pPr>
      <w:r>
        <w:rPr>
          <w:bCs/>
          <w:b/>
        </w:rPr>
        <w:t xml:space="preserve">C.1. Upstream Transportation (Scope 3, Category 4)</w:t>
      </w:r>
    </w:p>
    <w:p>
      <w:pPr>
        <w:numPr>
          <w:ilvl w:val="0"/>
          <w:numId w:val="1011"/>
        </w:numPr>
        <w:pStyle w:val="Compact"/>
      </w:pPr>
      <w:r>
        <w:rPr>
          <w:bCs/>
          <w:b/>
        </w:rPr>
        <w:t xml:space="preserve">Inbound Materials to Factory (Road):</w:t>
      </w:r>
      <w:r>
        <w:t xml:space="preserve"> </w:t>
      </w:r>
      <w:r>
        <w:t xml:space="preserve">0.97 kg * 500 km * 0.00008 kg CO2e/kg-km = 0.0388 kg CO2e</w:t>
      </w:r>
    </w:p>
    <w:p>
      <w:pPr>
        <w:numPr>
          <w:ilvl w:val="0"/>
          <w:numId w:val="1011"/>
        </w:numPr>
        <w:pStyle w:val="Compact"/>
      </w:pPr>
      <w:r>
        <w:rPr>
          <w:bCs/>
          <w:b/>
        </w:rPr>
        <w:t xml:space="preserve">Finished Product Factory to Europe Hub (Ocean):</w:t>
      </w:r>
      <w:r>
        <w:t xml:space="preserve"> </w:t>
      </w:r>
      <w:r>
        <w:t xml:space="preserve">0.97 kg * 15,000 km * 0.000005 kg CO2e/kg-km = 0.0728 kg CO2e</w:t>
      </w:r>
    </w:p>
    <w:p>
      <w:pPr>
        <w:numPr>
          <w:ilvl w:val="0"/>
          <w:numId w:val="1011"/>
        </w:numPr>
        <w:pStyle w:val="Compact"/>
      </w:pPr>
      <w:r>
        <w:rPr>
          <w:bCs/>
          <w:b/>
        </w:rPr>
        <w:t xml:space="preserve">Distribution within Europe (Road HGV):</w:t>
      </w:r>
      <w:r>
        <w:t xml:space="preserve"> </w:t>
      </w:r>
      <w:r>
        <w:t xml:space="preserve">0.97 kg * 300 km * 0.00008 kg CO2e/kg-km = 0.0233 kg CO2e</w:t>
      </w:r>
    </w:p>
    <w:p>
      <w:pPr>
        <w:numPr>
          <w:ilvl w:val="0"/>
          <w:numId w:val="1011"/>
        </w:numPr>
        <w:pStyle w:val="Compact"/>
      </w:pPr>
      <w:r>
        <w:rPr>
          <w:bCs/>
          <w:b/>
        </w:rPr>
        <w:t xml:space="preserve">Total Upstream Transport Emissions: 0.1349 kg CO2e</w:t>
      </w:r>
    </w:p>
    <w:p>
      <w:pPr>
        <w:pStyle w:val="FirstParagraph"/>
      </w:pPr>
      <w:r>
        <w:rPr>
          <w:bCs/>
          <w:b/>
        </w:rPr>
        <w:t xml:space="preserve">C.2. Downstream Transportation (Scope 3, Category 9)</w:t>
      </w:r>
    </w:p>
    <w:p>
      <w:pPr>
        <w:numPr>
          <w:ilvl w:val="0"/>
          <w:numId w:val="1012"/>
        </w:numPr>
        <w:pStyle w:val="Compact"/>
      </w:pPr>
      <w:r>
        <w:rPr>
          <w:bCs/>
          <w:b/>
        </w:rPr>
        <w:t xml:space="preserve">Last-Mile Delivery (Road LCV):</w:t>
      </w:r>
      <w:r>
        <w:t xml:space="preserve"> </w:t>
      </w:r>
      <w:r>
        <w:t xml:space="preserve">0.97 kg * 50 km * 0.0002 kg CO2e/kg-km = 0.0097 kg CO2e</w:t>
      </w:r>
    </w:p>
    <w:p>
      <w:pPr>
        <w:numPr>
          <w:ilvl w:val="0"/>
          <w:numId w:val="1012"/>
        </w:numPr>
        <w:pStyle w:val="Compact"/>
      </w:pPr>
      <w:r>
        <w:rPr>
          <w:bCs/>
          <w:b/>
        </w:rPr>
        <w:t xml:space="preserve">Total Downstream Transport Emissions: 0.0097 kg CO2e</w:t>
      </w:r>
    </w:p>
    <w:p>
      <w:pPr>
        <w:pStyle w:val="FirstParagraph"/>
      </w:pPr>
      <w:r>
        <w:rPr>
          <w:bCs/>
          <w:b/>
        </w:rPr>
        <w:t xml:space="preserve">Total Transportation &amp; Distribution Emissions: 0.1349 + 0.0097 = 0.1446 kg CO2e</w:t>
      </w:r>
    </w:p>
    <w:bookmarkEnd w:id="34"/>
    <w:bookmarkStart w:id="35" w:name="Xa766405037aeee662637ff5823545ad106063b8"/>
    <w:p>
      <w:pPr>
        <w:pStyle w:val="Heading4"/>
      </w:pPr>
      <w:r>
        <w:t xml:space="preserve">D. Use Phase (Scope 3, Category 11: Use of Sold Products)</w:t>
      </w:r>
    </w:p>
    <w:p>
      <w:pPr>
        <w:pStyle w:val="FirstParagraph"/>
      </w:pPr>
      <w:r>
        <w:t xml:space="preserve">Emissions from energy consumed by the product during its lifespan by the end-user in Europe.</w:t>
      </w:r>
    </w:p>
    <w:p>
      <w:pPr>
        <w:numPr>
          <w:ilvl w:val="0"/>
          <w:numId w:val="1013"/>
        </w:numPr>
        <w:pStyle w:val="Compact"/>
      </w:pPr>
      <w:r>
        <w:t xml:space="preserve">Total Energy Consumption: 0.05 kWh/day * 365 days/year * 7 years = 127.75 kWh</w:t>
      </w:r>
    </w:p>
    <w:p>
      <w:pPr>
        <w:numPr>
          <w:ilvl w:val="0"/>
          <w:numId w:val="1013"/>
        </w:numPr>
        <w:pStyle w:val="Compact"/>
      </w:pPr>
      <w:r>
        <w:t xml:space="preserve">European Grid Electricity Emission Factor: 0.255 kg CO2e/kWh</w:t>
      </w:r>
    </w:p>
    <w:p>
      <w:pPr>
        <w:numPr>
          <w:ilvl w:val="0"/>
          <w:numId w:val="1013"/>
        </w:numPr>
        <w:pStyle w:val="Compact"/>
      </w:pPr>
      <w:r>
        <w:rPr>
          <w:bCs/>
          <w:b/>
        </w:rPr>
        <w:t xml:space="preserve">Use Phase Emissions:</w:t>
      </w:r>
      <w:r>
        <w:t xml:space="preserve"> </w:t>
      </w:r>
      <w:r>
        <w:t xml:space="preserve">127.75 kWh * 0.255 kg CO2e/kWh =</w:t>
      </w:r>
      <w:r>
        <w:t xml:space="preserve"> </w:t>
      </w:r>
      <w:r>
        <w:rPr>
          <w:bCs/>
          <w:b/>
        </w:rPr>
        <w:t xml:space="preserve">32.576 kg CO2e</w:t>
      </w:r>
    </w:p>
    <w:bookmarkEnd w:id="35"/>
    <w:bookmarkStart w:id="36" w:name="X04c46a8720c1ebd18cd9a1f06bf7540b94d2782"/>
    <w:p>
      <w:pPr>
        <w:pStyle w:val="Heading4"/>
      </w:pPr>
      <w:r>
        <w:t xml:space="preserve">E. End-of-Life (EoL) (Scope 3, Category 12: End-of-Life Treatment of Sold Products)</w:t>
      </w:r>
    </w:p>
    <w:p>
      <w:pPr>
        <w:pStyle w:val="FirstParagraph"/>
      </w:pPr>
      <w:r>
        <w:t xml:space="preserve">Emissions and credits associated with the disposal and recycling of the product at the end of its life.</w:t>
      </w:r>
    </w:p>
    <w:p>
      <w:pPr>
        <w:numPr>
          <w:ilvl w:val="0"/>
          <w:numId w:val="1014"/>
        </w:numPr>
        <w:pStyle w:val="Compact"/>
      </w:pPr>
      <w:r>
        <w:t xml:space="preserve">Product Mass at EoL: 0.97 kg</w:t>
      </w:r>
    </w:p>
    <w:p>
      <w:pPr>
        <w:numPr>
          <w:ilvl w:val="0"/>
          <w:numId w:val="1014"/>
        </w:numPr>
        <w:pStyle w:val="Compact"/>
      </w:pPr>
      <w:r>
        <w:t xml:space="preserve">Recycled Portion: 0.97 kg * 75% = 0.7275 kg</w:t>
      </w:r>
    </w:p>
    <w:p>
      <w:pPr>
        <w:numPr>
          <w:ilvl w:val="0"/>
          <w:numId w:val="1014"/>
        </w:numPr>
        <w:pStyle w:val="Compact"/>
      </w:pPr>
      <w:r>
        <w:t xml:space="preserve">Disposed Portion: 0.97 kg * 25% = 0.2425 kg</w:t>
      </w:r>
    </w:p>
    <w:p>
      <w:pPr>
        <w:numPr>
          <w:ilvl w:val="0"/>
          <w:numId w:val="1014"/>
        </w:numPr>
        <w:pStyle w:val="Compact"/>
      </w:pPr>
      <w:r>
        <w:t xml:space="preserve">Recycling Credit: 0.7275 kg * (-0.5 kg CO2e/kg) = -0.3638 kg CO2e (credit for avoided virgin material)</w:t>
      </w:r>
    </w:p>
    <w:p>
      <w:pPr>
        <w:numPr>
          <w:ilvl w:val="0"/>
          <w:numId w:val="1014"/>
        </w:numPr>
        <w:pStyle w:val="Compact"/>
      </w:pPr>
      <w:r>
        <w:t xml:space="preserve">Disposal Burden: 0.2425 kg * (1.0 kg CO2e/kg) = 0.2425 kg CO2e</w:t>
      </w:r>
    </w:p>
    <w:p>
      <w:pPr>
        <w:numPr>
          <w:ilvl w:val="0"/>
          <w:numId w:val="1014"/>
        </w:numPr>
        <w:pStyle w:val="Compact"/>
      </w:pPr>
      <w:r>
        <w:rPr>
          <w:bCs/>
          <w:b/>
        </w:rPr>
        <w:t xml:space="preserve">Net EoL Emissions:</w:t>
      </w:r>
      <w:r>
        <w:t xml:space="preserve"> </w:t>
      </w:r>
      <w:r>
        <w:t xml:space="preserve">-0.3638 + 0.2425 =</w:t>
      </w:r>
      <w:r>
        <w:t xml:space="preserve"> </w:t>
      </w:r>
      <w:r>
        <w:rPr>
          <w:bCs/>
          <w:b/>
        </w:rPr>
        <w:t xml:space="preserve">-0.121 kg CO2e</w:t>
      </w:r>
    </w:p>
    <w:bookmarkEnd w:id="36"/>
    <w:bookmarkEnd w:id="37"/>
    <w:bookmarkStart w:id="38" w:name="X16dad4c35a50855baff227c9e6c6451c9852cb4"/>
    <w:p>
      <w:pPr>
        <w:pStyle w:val="Heading3"/>
      </w:pPr>
      <w:r>
        <w:t xml:space="preserve">Total Product Carbon Footprint (PCF) for one unit of inuoixktvm:</w:t>
      </w:r>
    </w:p>
    <w:p>
      <w:pPr>
        <w:pStyle w:val="FirstParagraph"/>
      </w:pPr>
      <w:r>
        <w:t xml:space="preserve">Summing up emissions from all stages:</w:t>
      </w:r>
    </w:p>
    <w:p>
      <w:pPr>
        <w:numPr>
          <w:ilvl w:val="0"/>
          <w:numId w:val="1015"/>
        </w:numPr>
        <w:pStyle w:val="Compact"/>
      </w:pPr>
      <w:r>
        <w:t xml:space="preserve">Material Acquisition: 6.441 kg CO2e</w:t>
      </w:r>
    </w:p>
    <w:p>
      <w:pPr>
        <w:numPr>
          <w:ilvl w:val="0"/>
          <w:numId w:val="1015"/>
        </w:numPr>
        <w:pStyle w:val="Compact"/>
      </w:pPr>
      <w:r>
        <w:t xml:space="preserve">Manufacturing: 1.986 kg CO2e</w:t>
      </w:r>
    </w:p>
    <w:p>
      <w:pPr>
        <w:numPr>
          <w:ilvl w:val="0"/>
          <w:numId w:val="1015"/>
        </w:numPr>
        <w:pStyle w:val="Compact"/>
      </w:pPr>
      <w:r>
        <w:t xml:space="preserve">Transportation &amp; Distribution: 0.145 kg CO2e</w:t>
      </w:r>
    </w:p>
    <w:p>
      <w:pPr>
        <w:numPr>
          <w:ilvl w:val="0"/>
          <w:numId w:val="1015"/>
        </w:numPr>
        <w:pStyle w:val="Compact"/>
      </w:pPr>
      <w:r>
        <w:t xml:space="preserve">Use Phase: 32.576 kg CO2e</w:t>
      </w:r>
    </w:p>
    <w:p>
      <w:pPr>
        <w:numPr>
          <w:ilvl w:val="0"/>
          <w:numId w:val="1015"/>
        </w:numPr>
        <w:pStyle w:val="Compact"/>
      </w:pPr>
      <w:r>
        <w:t xml:space="preserve">End-of-Life: -0.121 kg CO2e</w:t>
      </w:r>
    </w:p>
    <w:p>
      <w:pPr>
        <w:numPr>
          <w:ilvl w:val="0"/>
          <w:numId w:val="1015"/>
        </w:numPr>
        <w:pStyle w:val="Compact"/>
      </w:pPr>
      <w:r>
        <w:rPr>
          <w:bCs/>
          <w:b/>
        </w:rPr>
        <w:t xml:space="preserve">TOTAL PCF: 6.441 + 1.986 + 0.145 + 32.576 - 0.121 = 41.027 kg CO2e</w:t>
      </w:r>
    </w:p>
    <w:bookmarkEnd w:id="38"/>
    <w:bookmarkStart w:id="39" w:name="emissions-by-ghg-protocol-scope"/>
    <w:p>
      <w:pPr>
        <w:pStyle w:val="Heading3"/>
      </w:pPr>
      <w:r>
        <w:t xml:space="preserve">Emissions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Total CO2e (kg)</w:t>
            </w:r>
          </w:p>
        </w:tc>
      </w:tr>
      <w:tr>
        <w:tc>
          <w:tcPr/>
          <w:p>
            <w:pPr>
              <w:pStyle w:val="Compact"/>
              <w:jc w:val="left"/>
            </w:pPr>
            <w:r>
              <w:rPr>
                <w:bCs/>
                <w:b/>
              </w:rPr>
              <w:t xml:space="preserve">Scope 1</w:t>
            </w:r>
          </w:p>
        </w:tc>
        <w:tc>
          <w:tcPr/>
          <w:p>
            <w:pPr>
              <w:pStyle w:val="Compact"/>
              <w:jc w:val="left"/>
            </w:pPr>
            <w:r>
              <w:t xml:space="preserve">-</w:t>
            </w:r>
          </w:p>
        </w:tc>
        <w:tc>
          <w:tcPr/>
          <w:p>
            <w:pPr>
              <w:pStyle w:val="Compact"/>
              <w:jc w:val="left"/>
            </w:pPr>
            <w:r>
              <w:t xml:space="preserve">Direct Emissions (Not applicable as per factory_gate boundary for production)</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3</w:t>
            </w:r>
          </w:p>
        </w:tc>
        <w:tc>
          <w:tcPr/>
          <w:p>
            <w:pPr>
              <w:pStyle w:val="Compact"/>
              <w:jc w:val="left"/>
            </w:pPr>
            <w:r>
              <w:t xml:space="preserve">Purchased Electricity (Manufacturing)</w:t>
            </w:r>
          </w:p>
        </w:tc>
        <w:tc>
          <w:tcPr/>
          <w:p>
            <w:pPr>
              <w:pStyle w:val="Compact"/>
              <w:jc w:val="left"/>
            </w:pPr>
            <w:r>
              <w:t xml:space="preserve">1.986</w:t>
            </w:r>
          </w:p>
        </w:tc>
      </w:tr>
      <w:tr>
        <w:tc>
          <w:tcPr/>
          <w:p>
            <w:pPr>
              <w:pStyle w:val="Compact"/>
              <w:jc w:val="left"/>
            </w:pPr>
            <w:r>
              <w:rPr>
                <w:bCs/>
                <w:b/>
              </w:rPr>
              <w:t xml:space="preserve">Scope 3</w:t>
            </w:r>
          </w:p>
        </w:tc>
        <w:tc>
          <w:tcPr/>
          <w:p>
            <w:pPr>
              <w:pStyle w:val="Compact"/>
              <w:jc w:val="left"/>
            </w:pPr>
            <w:r>
              <w:t xml:space="preserve">1</w:t>
            </w:r>
          </w:p>
        </w:tc>
        <w:tc>
          <w:tcPr/>
          <w:p>
            <w:pPr>
              <w:pStyle w:val="Compact"/>
              <w:jc w:val="left"/>
            </w:pPr>
            <w:r>
              <w:t xml:space="preserve">Purchased Goods &amp; Services (Materials)</w:t>
            </w:r>
          </w:p>
        </w:tc>
        <w:tc>
          <w:tcPr/>
          <w:p>
            <w:pPr>
              <w:pStyle w:val="Compact"/>
              <w:jc w:val="left"/>
            </w:pPr>
            <w:r>
              <w:t xml:space="preserve">6.441</w:t>
            </w:r>
          </w:p>
        </w:tc>
      </w:tr>
      <w:tr>
        <w:tc>
          <w:tcPr/>
          <w:p>
            <w:pPr>
              <w:pStyle w:val="Compact"/>
            </w:pPr>
          </w:p>
        </w:tc>
        <w:tc>
          <w:tcPr/>
          <w:p>
            <w:pPr>
              <w:pStyle w:val="Compact"/>
              <w:jc w:val="left"/>
            </w:pPr>
            <w:r>
              <w:t xml:space="preserve">4</w:t>
            </w:r>
          </w:p>
        </w:tc>
        <w:tc>
          <w:tcPr/>
          <w:p>
            <w:pPr>
              <w:pStyle w:val="Compact"/>
              <w:jc w:val="left"/>
            </w:pPr>
            <w:r>
              <w:t xml:space="preserve">Upstream Transportation &amp; Distribution</w:t>
            </w:r>
          </w:p>
        </w:tc>
        <w:tc>
          <w:tcPr/>
          <w:p>
            <w:pPr>
              <w:pStyle w:val="Compact"/>
              <w:jc w:val="left"/>
            </w:pPr>
            <w:r>
              <w:t xml:space="preserve">0.135</w:t>
            </w:r>
          </w:p>
        </w:tc>
      </w:tr>
      <w:tr>
        <w:tc>
          <w:tcPr/>
          <w:p>
            <w:pPr>
              <w:pStyle w:val="Compact"/>
            </w:pPr>
          </w:p>
        </w:tc>
        <w:tc>
          <w:tcPr/>
          <w:p>
            <w:pPr>
              <w:pStyle w:val="Compact"/>
              <w:jc w:val="left"/>
            </w:pPr>
            <w:r>
              <w:t xml:space="preserve">9</w:t>
            </w:r>
          </w:p>
        </w:tc>
        <w:tc>
          <w:tcPr/>
          <w:p>
            <w:pPr>
              <w:pStyle w:val="Compact"/>
              <w:jc w:val="left"/>
            </w:pPr>
            <w:r>
              <w:t xml:space="preserve">Downstream Transportation &amp; Distribution (Last-Mile)</w:t>
            </w:r>
          </w:p>
        </w:tc>
        <w:tc>
          <w:tcPr/>
          <w:p>
            <w:pPr>
              <w:pStyle w:val="Compact"/>
              <w:jc w:val="left"/>
            </w:pPr>
            <w:r>
              <w:t xml:space="preserve">0.010</w:t>
            </w:r>
          </w:p>
        </w:tc>
      </w:tr>
      <w:tr>
        <w:tc>
          <w:tcPr/>
          <w:p>
            <w:pPr>
              <w:pStyle w:val="Compact"/>
            </w:pPr>
          </w:p>
        </w:tc>
        <w:tc>
          <w:tcPr/>
          <w:p>
            <w:pPr>
              <w:pStyle w:val="Compact"/>
              <w:jc w:val="left"/>
            </w:pPr>
            <w:r>
              <w:t xml:space="preserve">11</w:t>
            </w:r>
          </w:p>
        </w:tc>
        <w:tc>
          <w:tcPr/>
          <w:p>
            <w:pPr>
              <w:pStyle w:val="Compact"/>
              <w:jc w:val="left"/>
            </w:pPr>
            <w:r>
              <w:t xml:space="preserve">Use of Sold Products</w:t>
            </w:r>
          </w:p>
        </w:tc>
        <w:tc>
          <w:tcPr/>
          <w:p>
            <w:pPr>
              <w:pStyle w:val="Compact"/>
              <w:jc w:val="left"/>
            </w:pPr>
            <w:r>
              <w:t xml:space="preserve">32.576</w:t>
            </w:r>
          </w:p>
        </w:tc>
      </w:tr>
      <w:tr>
        <w:tc>
          <w:tcPr/>
          <w:p>
            <w:pPr>
              <w:pStyle w:val="Compact"/>
            </w:pPr>
          </w:p>
        </w:tc>
        <w:tc>
          <w:tcPr/>
          <w:p>
            <w:pPr>
              <w:pStyle w:val="Compact"/>
              <w:jc w:val="left"/>
            </w:pPr>
            <w:r>
              <w:t xml:space="preserve">12</w:t>
            </w:r>
          </w:p>
        </w:tc>
        <w:tc>
          <w:tcPr/>
          <w:p>
            <w:pPr>
              <w:pStyle w:val="Compact"/>
              <w:jc w:val="left"/>
            </w:pPr>
            <w:r>
              <w:t xml:space="preserve">End-of-Life Treatment of Sold Products</w:t>
            </w:r>
          </w:p>
        </w:tc>
        <w:tc>
          <w:tcPr/>
          <w:p>
            <w:pPr>
              <w:pStyle w:val="Compact"/>
              <w:jc w:val="left"/>
            </w:pPr>
            <w:r>
              <w:t xml:space="preserve">-0.121</w:t>
            </w:r>
          </w:p>
        </w:tc>
      </w:tr>
      <w:tr>
        <w:tc>
          <w:tcPr/>
          <w:p>
            <w:pPr>
              <w:pStyle w:val="Compact"/>
              <w:jc w:val="left"/>
            </w:pPr>
            <w:r>
              <w:rPr>
                <w:bCs/>
                <w:b/>
              </w:rPr>
              <w:t xml:space="preserve">Total Scope 3 Emissions</w:t>
            </w:r>
          </w:p>
        </w:tc>
        <w:tc>
          <w:tcPr/>
          <w:p>
            <w:pPr>
              <w:pStyle w:val="Compact"/>
            </w:pPr>
          </w:p>
        </w:tc>
        <w:tc>
          <w:tcPr/>
          <w:p>
            <w:pPr>
              <w:pStyle w:val="Compact"/>
            </w:pPr>
          </w:p>
        </w:tc>
        <w:tc>
          <w:tcPr/>
          <w:p>
            <w:pPr>
              <w:pStyle w:val="Compact"/>
              <w:jc w:val="left"/>
            </w:pPr>
            <w:r>
              <w:rPr>
                <w:bCs/>
                <w:b/>
              </w:rPr>
              <w:t xml:space="preserve">39.041</w:t>
            </w:r>
          </w:p>
        </w:tc>
      </w:tr>
      <w:tr>
        <w:tc>
          <w:tcPr/>
          <w:p>
            <w:pPr>
              <w:pStyle w:val="Compact"/>
              <w:jc w:val="left"/>
            </w:pPr>
            <w:r>
              <w:rPr>
                <w:bCs/>
                <w:b/>
              </w:rPr>
              <w:t xml:space="preserve">Grand Total PCF</w:t>
            </w:r>
          </w:p>
        </w:tc>
        <w:tc>
          <w:tcPr/>
          <w:p>
            <w:pPr>
              <w:pStyle w:val="Compact"/>
            </w:pPr>
          </w:p>
        </w:tc>
        <w:tc>
          <w:tcPr/>
          <w:p>
            <w:pPr>
              <w:pStyle w:val="Compact"/>
            </w:pPr>
          </w:p>
        </w:tc>
        <w:tc>
          <w:tcPr/>
          <w:p>
            <w:pPr>
              <w:pStyle w:val="Compact"/>
              <w:jc w:val="left"/>
            </w:pPr>
            <w:r>
              <w:rPr>
                <w:bCs/>
                <w:b/>
              </w:rPr>
              <w:t xml:space="preserve">41.027</w:t>
            </w:r>
          </w:p>
        </w:tc>
      </w:tr>
    </w:tbl>
    <w:p>
      <w:pPr>
        <w:pStyle w:val="BodyText"/>
      </w:pPr>
      <w:r>
        <w:t xml:space="preserve">The calculated Scope 3 emissions (39.041 kg CO2e) represent approximately 95.16% of the total PCF (41.027 kg CO2e), ensuring compliance with the 2026 GHG Protocol\'s 95% coverage requirement.</w:t>
      </w:r>
    </w:p>
    <w:bookmarkEnd w:id="39"/>
    <w:bookmarkEnd w:id="40"/>
    <w:p>
      <w:r>
        <w:pict>
          <v:rect style="width:0;height:1.5pt" o:hralign="center" o:hrstd="t" o:hr="t"/>
        </w:pict>
      </w:r>
    </w:p>
    <w:bookmarkStart w:id="44" w:name="review-report"/>
    <w:p>
      <w:pPr>
        <w:pStyle w:val="Heading2"/>
      </w:pPr>
      <w:r>
        <w:t xml:space="preserve">5. Review &amp; Report</w:t>
      </w:r>
    </w:p>
    <w:p>
      <w:pPr>
        <w:pStyle w:val="FirstParagraph"/>
      </w:pPr>
      <w:r>
        <w:t xml:space="preserve">This section summarizes the findings, identifies emission hotspots, and discusses the reliability of the analysis.</w:t>
      </w:r>
    </w:p>
    <w:bookmarkStart w:id="41" w:name="emission-hotspots"/>
    <w:p>
      <w:pPr>
        <w:pStyle w:val="Heading3"/>
      </w:pPr>
      <w:r>
        <w:t xml:space="preserve">Emission Hotspots:</w:t>
      </w:r>
    </w:p>
    <w:p>
      <w:pPr>
        <w:pStyle w:val="FirstParagraph"/>
      </w:pPr>
      <w:r>
        <w:t xml:space="preserve">The analysis reveals the following major contributors to the product\'s carbon footprint:</w:t>
      </w:r>
    </w:p>
    <w:p>
      <w:pPr>
        <w:numPr>
          <w:ilvl w:val="0"/>
          <w:numId w:val="1016"/>
        </w:numPr>
        <w:pStyle w:val="Compact"/>
      </w:pPr>
      <w:r>
        <w:rPr>
          <w:bCs/>
          <w:b/>
        </w:rPr>
        <w:t xml:space="preserve">Use Phase (32.576 kg CO2e, ~79.4% of total):</w:t>
      </w:r>
      <w:r>
        <w:t xml:space="preserve"> </w:t>
      </w:r>
      <w:r>
        <w:t xml:space="preserve">The energy consumption during the product\'s 7-year lifespan is by far the largest hotspot. Even with Europe\'s relatively cleaner grid mix, the cumulative energy demand significantly impacts the PCF. This highlights the importance of energy efficiency in product design and promoting renewable energy sources for end-users.</w:t>
      </w:r>
    </w:p>
    <w:p>
      <w:pPr>
        <w:numPr>
          <w:ilvl w:val="0"/>
          <w:numId w:val="1016"/>
        </w:numPr>
        <w:pStyle w:val="Compact"/>
      </w:pPr>
      <w:r>
        <w:rPr>
          <w:bCs/>
          <w:b/>
        </w:rPr>
        <w:t xml:space="preserve">Material Acquisition &amp; Processing (6.441 kg CO2e, ~15.7% of total):</w:t>
      </w:r>
      <w:r>
        <w:t xml:space="preserve"> </w:t>
      </w:r>
      <w:r>
        <w:t xml:space="preserve">Upstream emissions from raw materials, particularly Aluminum, PCB, and the Lithium-ion battery, are significant. Sourcing lower-carbon materials, increasing recycled content, and engaging with suppliers on their decarbonization efforts are critical.</w:t>
      </w:r>
    </w:p>
    <w:p>
      <w:pPr>
        <w:numPr>
          <w:ilvl w:val="0"/>
          <w:numId w:val="1016"/>
        </w:numPr>
        <w:pStyle w:val="Compact"/>
      </w:pPr>
      <w:r>
        <w:rPr>
          <w:bCs/>
          <w:b/>
        </w:rPr>
        <w:t xml:space="preserve">Manufacturing (1.986 kg CO2e, ~4.8% of total):</w:t>
      </w:r>
      <w:r>
        <w:t xml:space="preserve"> </w:t>
      </w:r>
      <w:r>
        <w:t xml:space="preserve">While the company utilizes 60% renewable energy, the remaining grid electricity in China still contributes to emissions. Further increasing renewable energy penetration or improving manufacturing efficiency can reduce this impact.</w:t>
      </w:r>
    </w:p>
    <w:bookmarkEnd w:id="41"/>
    <w:bookmarkStart w:id="42" w:name="reliability-and-limitations"/>
    <w:p>
      <w:pPr>
        <w:pStyle w:val="Heading3"/>
      </w:pPr>
      <w:r>
        <w:t xml:space="preserve">Reliability and Limitations:</w:t>
      </w:r>
    </w:p>
    <w:p>
      <w:pPr>
        <w:numPr>
          <w:ilvl w:val="0"/>
          <w:numId w:val="1017"/>
        </w:numPr>
        <w:pStyle w:val="Compact"/>
      </w:pPr>
      <w:r>
        <w:rPr>
          <w:bCs/>
          <w:b/>
        </w:rPr>
        <w:t xml:space="preserve">Data Quality:</w:t>
      </w:r>
      <w:r>
        <w:t xml:space="preserve"> </w:t>
      </w:r>
      <w:r>
        <w:t xml:space="preserve">This report utilizes a blend of primary data (provided parameters) and secondary, industry-average emission factors from reputable sources. While specific BOM data was provided, some detailed process-specific emission factors for complex components like PCBs were based on general estimates due to data availability.</w:t>
      </w:r>
    </w:p>
    <w:p>
      <w:pPr>
        <w:numPr>
          <w:ilvl w:val="0"/>
          <w:numId w:val="1017"/>
        </w:numPr>
        <w:pStyle w:val="Compact"/>
      </w:pPr>
      <w:r>
        <w:rPr>
          <w:bCs/>
          <w:b/>
        </w:rPr>
        <w:t xml:space="preserve">Assumptions:</w:t>
      </w:r>
      <w:r>
        <w:t xml:space="preserve"> </w:t>
      </w:r>
      <w:r>
        <w:t xml:space="preserve">Assumptions were made regarding transport modes, distances, and end-of-life scenarios where placeholders were given. These assumptions are based on typical industry practices and geographical considerations.</w:t>
      </w:r>
    </w:p>
    <w:p>
      <w:pPr>
        <w:numPr>
          <w:ilvl w:val="0"/>
          <w:numId w:val="1017"/>
        </w:numPr>
        <w:pStyle w:val="Compact"/>
      </w:pPr>
      <w:r>
        <w:rPr>
          <w:bCs/>
          <w:b/>
        </w:rPr>
        <w:t xml:space="preserve">GHG Protocol Alignment:</w:t>
      </w:r>
      <w:r>
        <w:t xml:space="preserve"> </w:t>
      </w:r>
      <w:r>
        <w:t xml:space="preserve">The methodology rigorously follows the GHG Protocol Product Standard, ensuring transparency and adherence to international best practices. The integration of 2026 LSR considerations and the 95% Scope 3 coverage rule enhance the robustness of the assessment.</w:t>
      </w:r>
    </w:p>
    <w:bookmarkEnd w:id="42"/>
    <w:bookmarkStart w:id="43" w:name="recommendations-for-decarbonization"/>
    <w:p>
      <w:pPr>
        <w:pStyle w:val="Heading3"/>
      </w:pPr>
      <w:r>
        <w:t xml:space="preserve">Recommendations for Decarbonization:</w:t>
      </w:r>
    </w:p>
    <w:p>
      <w:pPr>
        <w:numPr>
          <w:ilvl w:val="0"/>
          <w:numId w:val="1018"/>
        </w:numPr>
        <w:pStyle w:val="Compact"/>
      </w:pPr>
      <w:r>
        <w:rPr>
          <w:bCs/>
          <w:b/>
        </w:rPr>
        <w:t xml:space="preserve">Enhance Use Phase Efficiency:</w:t>
      </w:r>
      <w:r>
        <w:t xml:space="preserve"> </w:t>
      </w:r>
      <w:r>
        <w:t xml:space="preserve">Focus on product design for maximum energy efficiency during the 7-year lifespan. Explore smart features, lower power modes, and user guidance to minimize energy consumption.</w:t>
      </w:r>
    </w:p>
    <w:p>
      <w:pPr>
        <w:numPr>
          <w:ilvl w:val="0"/>
          <w:numId w:val="1018"/>
        </w:numPr>
        <w:pStyle w:val="Compact"/>
      </w:pPr>
      <w:r>
        <w:rPr>
          <w:bCs/>
          <w:b/>
        </w:rPr>
        <w:t xml:space="preserve">Sustainable Material Sourcing:</w:t>
      </w:r>
      <w:r>
        <w:t xml:space="preserve"> </w:t>
      </w:r>
      <w:r>
        <w:t xml:space="preserve">Investigate opportunities to procure lower-carbon aluminum (e.g., from smelters using hydropower), plastics with higher recycled content, and more efficiently produced electronic components. Engage with supply chain partners to obtain primary emission data for critical materials.</w:t>
      </w:r>
    </w:p>
    <w:p>
      <w:pPr>
        <w:numPr>
          <w:ilvl w:val="0"/>
          <w:numId w:val="1018"/>
        </w:numPr>
        <w:pStyle w:val="Compact"/>
      </w:pPr>
      <w:r>
        <w:rPr>
          <w:bCs/>
          <w:b/>
        </w:rPr>
        <w:t xml:space="preserve">Renewable Energy Expansion:</w:t>
      </w:r>
      <w:r>
        <w:t xml:space="preserve"> </w:t>
      </w:r>
      <w:r>
        <w:t xml:space="preserve">Continue to increase the share of renewable energy in manufacturing operations in China, potentially through on-site generation or Power Purchase Agreements (PPAs) with renewable energy providers.</w:t>
      </w:r>
    </w:p>
    <w:p>
      <w:pPr>
        <w:numPr>
          <w:ilvl w:val="0"/>
          <w:numId w:val="1018"/>
        </w:numPr>
        <w:pStyle w:val="Compact"/>
      </w:pPr>
      <w:r>
        <w:rPr>
          <w:bCs/>
          <w:b/>
        </w:rPr>
        <w:t xml:space="preserve">Circular Economy Initiatives:</w:t>
      </w:r>
      <w:r>
        <w:t xml:space="preserve"> </w:t>
      </w:r>
      <w:r>
        <w:t xml:space="preserve">Strengthen the existing take-back and recycling programs (nionjlhmdk) and explore design-for-disassembly to maximize the recovery of valuable materials and minimize end-of-life burdens.</w:t>
      </w:r>
    </w:p>
    <w:bookmarkEnd w:id="43"/>
    <w:bookmarkEnd w:id="44"/>
    <w:p>
      <w:r>
        <w:pict>
          <v:rect style="width:0;height:1.5pt" o:hralign="center" o:hrstd="t" o:hr="t"/>
        </w:pict>
      </w:r>
    </w:p>
    <w:p>
      <w:pPr>
        <w:pStyle w:val="FirstParagraph"/>
      </w:pPr>
      <w:r>
        <w:t xml:space="preserve">Confidential - Internal Use Only</w:t>
      </w:r>
    </w:p>
    <w:p>
      <w:pPr>
        <w:pStyle w:val="BodyText"/>
      </w:pPr>
      <w:r>
        <w:t xml:space="preserve">.</w:t>
      </w:r>
    </w:p>
    <w:p>
      <w:pPr>
        <w:pStyle w:val="BodyText"/>
      </w:pPr>
      <w:r>
        <w:t xml:space="preserve">carboncalcpcf.com</w:t>
      </w:r>
    </w:p>
    <w:bookmarkStart w:id="46" w:name="Xa87d010c1fd868336511b306fbd202996615f12"/>
    <w:p>
      <w:pPr>
        <w:pStyle w:val="Heading1"/>
      </w:pPr>
      <w:r>
        <w:t xml:space="preserve">Product Carbon Footprint Analysis Report</w:t>
      </w:r>
    </w:p>
    <w:bookmarkStart w:id="45" w:name="product-inuoixktvm-1"/>
    <w:p>
      <w:pPr>
        <w:pStyle w:val="Heading2"/>
      </w:pPr>
      <w:r>
        <w:t xml:space="preserve">Product: inuoixktvm</w:t>
      </w:r>
    </w:p>
    <w:p>
      <w:pPr>
        <w:pStyle w:val="FirstParagraph"/>
      </w:pPr>
      <w:r>
        <w:t xml:space="preserve">**Company Name:** dpyvjdoxuy</w:t>
      </w:r>
    </w:p>
    <w:p>
      <w:pPr>
        <w:pStyle w:val="BodyText"/>
      </w:pPr>
      <w:r>
        <w:t xml:space="preserve">**Senior Sustainability Consultant:** kjxsikpeqq</w:t>
      </w:r>
    </w:p>
    <w:p>
      <w:pPr>
        <w:pStyle w:val="BodyText"/>
      </w:pPr>
      <w:r>
        <w:t xml:space="preserve">**Accounting Standard:** GHG Protocol</w:t>
      </w:r>
    </w:p>
    <w:p>
      <w:pPr>
        <w:pStyle w:val="BodyText"/>
      </w:pPr>
      <w:r>
        <w:t xml:space="preserve">*Disclaimer: This report is generated based on available data and industry standards. While efforts have been made to ensure accuracy and adherence to specified parameters, this analysis relies on representative emission factors and reasonable assumptions where primary data was not available or provided as a placeholder. The results are intended for informational and strategic planning purposes.*</w:t>
      </w:r>
    </w:p>
    <w:bookmarkEnd w:id="45"/>
    <w:bookmarkEnd w:id="46"/>
    <w:bookmarkStart w:id="47" w:name="X7a58175f80dc69664b90cdfc4d46d93fbe5c4b1"/>
    <w:p>
      <w:pPr>
        <w:pStyle w:val="Heading1"/>
      </w:pPr>
      <w:r>
        <w:t xml:space="preserve">Product Carbon Footprint Analysis for inuoixktvm</w:t>
      </w:r>
    </w:p>
    <w:p>
      <w:pPr>
        <w:pStyle w:val="FirstParagraph"/>
      </w:pPr>
      <w:r>
        <w:rPr>
          <w:bCs/>
          <w:b/>
        </w:rPr>
        <w:t xml:space="preserve">Generated Date:</w:t>
      </w:r>
      <w:r>
        <w:t xml:space="preserve"> </w:t>
      </w:r>
      <w:r>
        <w:t xml:space="preserve">May 22, 2026</w:t>
      </w:r>
    </w:p>
    <w:bookmarkEnd w:id="47"/>
    <w:p>
      <w:r>
        <w:pict>
          <v:rect style="width:0;height:1.5pt" o:hralign="center" o:hrstd="t" o:hr="t"/>
        </w:pict>
      </w:r>
    </w:p>
    <w:bookmarkStart w:id="48" w:name="executive-summary-1"/>
    <w:p>
      <w:pPr>
        <w:pStyle w:val="Heading2"/>
      </w:pPr>
      <w:r>
        <w:t xml:space="preserve">Executive Summary</w:t>
      </w:r>
    </w:p>
    <w:p>
      <w:pPr>
        <w:pStyle w:val="FirstParagraph"/>
      </w:pPr>
      <w:r>
        <w:t xml:space="preserve">This report presents a high-detail Product Carbon Footprint (PCF) analysis for \'inuoixktvm\' manufactured by dpyvjdoxuy, conducted by kjxsikpeqq, a Senior Sustainability Consultant specializing in the GHG Protocol. The analysis adheres strictly to the GHG Protocol Product Standard, incorporating the latest 2026 Land Sector and Removals (LSR) update considerations and ensuring at least 95% coverage for Scope 3 emissions. The total carbon footprint of \'inuoixktvm\' is quantified in kilograms of CO2 equivalent (kg CO2e) across its lifecycle, from material acquisition to end-of-life. Key hotspots identified include material production and the product\'s use phase, offering targeted areas for decarbonization efforts.</w:t>
      </w:r>
    </w:p>
    <w:bookmarkEnd w:id="48"/>
    <w:p>
      <w:r>
        <w:pict>
          <v:rect style="width:0;height:1.5pt" o:hralign="center" o:hrstd="t" o:hr="t"/>
        </w:pict>
      </w:r>
    </w:p>
    <w:bookmarkStart w:id="50" w:name="define-scope-1"/>
    <w:p>
      <w:pPr>
        <w:pStyle w:val="Heading2"/>
      </w:pPr>
      <w:r>
        <w:t xml:space="preserve">1. Define Scope</w:t>
      </w:r>
    </w:p>
    <w:p>
      <w:pPr>
        <w:pStyle w:val="FirstParagraph"/>
      </w:pPr>
      <w:r>
        <w:t xml:space="preserve">The foundational step of this PCF analysis involves clearly defining the scope of the assessment, ensuring consistency and comparability of results.</w:t>
      </w:r>
    </w:p>
    <w:p>
      <w:pPr>
        <w:numPr>
          <w:ilvl w:val="0"/>
          <w:numId w:val="1019"/>
        </w:numPr>
        <w:pStyle w:val="Compact"/>
      </w:pPr>
      <w:r>
        <w:rPr>
          <w:bCs/>
          <w:b/>
        </w:rPr>
        <w:t xml:space="preserve">Functional Unit:</w:t>
      </w:r>
      <w:r>
        <w:t xml:space="preserve"> </w:t>
      </w:r>
      <w:r>
        <w:t xml:space="preserve">1.0 unit of inuoixktvm.</w:t>
      </w:r>
    </w:p>
    <w:p>
      <w:pPr>
        <w:numPr>
          <w:ilvl w:val="0"/>
          <w:numId w:val="1019"/>
        </w:numPr>
        <w:pStyle w:val="Compact"/>
      </w:pPr>
      <w:r>
        <w:rPr>
          <w:bCs/>
          <w:b/>
        </w:rPr>
        <w:t xml:space="preserve">System Boundary:</w:t>
      </w:r>
      <w:r>
        <w:t xml:space="preserve"> </w:t>
      </w:r>
      <w:r>
        <w:t xml:space="preserve">Cradle-to-gate, encompassing raw material acquisition, manufacturing, and all associated transportation up to the point the finished product leaves the factory gate for distribution. This analysis further extends to include the use phase and end-of-life (cradle-to-grave) to provide a comprehensive view, as per the detailed parameter request.</w:t>
      </w:r>
    </w:p>
    <w:p>
      <w:pPr>
        <w:numPr>
          <w:ilvl w:val="0"/>
          <w:numId w:val="1019"/>
        </w:numPr>
        <w:pStyle w:val="Compact"/>
      </w:pPr>
      <w:r>
        <w:rPr>
          <w:bCs/>
          <w:b/>
        </w:rPr>
        <w:t xml:space="preserve">Geographic Scope:</w:t>
      </w:r>
      <w:r>
        <w:t xml:space="preserve"> </w:t>
      </w:r>
      <w:r>
        <w:t xml:space="preserve">Final production country is China, with a supply chain focus on Europe for inbound materials and distribution.</w:t>
      </w:r>
    </w:p>
    <w:p>
      <w:pPr>
        <w:numPr>
          <w:ilvl w:val="0"/>
          <w:numId w:val="1019"/>
        </w:numPr>
        <w:pStyle w:val="Compact"/>
      </w:pPr>
      <w:r>
        <w:rPr>
          <w:bCs/>
          <w:b/>
        </w:rPr>
        <w:t xml:space="preserve">Accounting Standard:</w:t>
      </w:r>
      <w:r>
        <w:t xml:space="preserve"> </w:t>
      </w:r>
      <w:r>
        <w:t xml:space="preserve">GHG Protocol Product Standard. All emissions are categorized into Scope 1 (direct emissions), Scope 2 (purchased energy emissions), and Scope 3 (value chain emissions) as required by the GHG Protocol.</w:t>
      </w:r>
    </w:p>
    <w:p>
      <w:pPr>
        <w:numPr>
          <w:ilvl w:val="0"/>
          <w:numId w:val="1019"/>
        </w:numPr>
        <w:pStyle w:val="Compact"/>
      </w:pPr>
      <w:r>
        <w:rPr>
          <w:bCs/>
          <w:b/>
        </w:rPr>
        <w:t xml:space="preserve">Allocation:</w:t>
      </w:r>
      <w:r>
        <w:t xml:space="preserve"> </w:t>
      </w:r>
      <w:r>
        <w:t xml:space="preserve">Emissions from shared processes or co-products are allocated based on mass, a common approach for material-intensive products.</w:t>
      </w:r>
    </w:p>
    <w:bookmarkStart w:id="49" w:name="ghg-protocol-2026-updates-integration-1"/>
    <w:p>
      <w:pPr>
        <w:pStyle w:val="Heading3"/>
      </w:pPr>
      <w:r>
        <w:t xml:space="preserve">GHG Protocol 2026 Updates Integration:</w:t>
      </w:r>
    </w:p>
    <w:p>
      <w:pPr>
        <w:numPr>
          <w:ilvl w:val="0"/>
          <w:numId w:val="1020"/>
        </w:numPr>
        <w:pStyle w:val="Compact"/>
      </w:pPr>
      <w:r>
        <w:rPr>
          <w:bCs/>
          <w:b/>
        </w:rPr>
        <w:t xml:space="preserve">Land Sector and Removals (LSR) Standard:</w:t>
      </w:r>
      <w:r>
        <w:t xml:space="preserve"> </w:t>
      </w:r>
      <w:r>
        <w:t xml:space="preserve">The GHG Protocol released its LSR Standard (v1.0) on January 30, 2026, which becomes effective on January 1, 2027. This standard provides accounting requirements for land-related GHG emissions and removals, particularly relevant for the food, agriculture, and land-use sectors. For \'inuoixktvm\', a manufactured product, direct land-use emissions are not a primary driver. However, potential land-use change impacts associated with raw material extraction in the broader supply chain are implicitly addressed within the material emission factors. Forest carbon accounting is explicitly excluded from this version of the LSR Standard.</w:t>
      </w:r>
    </w:p>
    <w:p>
      <w:pPr>
        <w:numPr>
          <w:ilvl w:val="0"/>
          <w:numId w:val="1020"/>
        </w:numPr>
        <w:pStyle w:val="Compact"/>
      </w:pPr>
      <w:r>
        <w:rPr>
          <w:bCs/>
          <w:b/>
        </w:rPr>
        <w:t xml:space="preserve">Scope 3 Compliance:</w:t>
      </w:r>
      <w:r>
        <w:t xml:space="preserve"> </w:t>
      </w:r>
      <w:r>
        <w:t xml:space="preserve">This analysis targets and ensures at least 95% coverage for Scope 3 emissions, as mandated by the 2026 GHG Protocol\'s 95% coverage requirement.</w:t>
      </w:r>
    </w:p>
    <w:bookmarkEnd w:id="49"/>
    <w:bookmarkEnd w:id="50"/>
    <w:p>
      <w:r>
        <w:pict>
          <v:rect style="width:0;height:1.5pt" o:hralign="center" o:hrstd="t" o:hr="t"/>
        </w:pict>
      </w:r>
    </w:p>
    <w:bookmarkStart w:id="56" w:name="map-lifecycle-3.-collect-data-1"/>
    <w:p>
      <w:pPr>
        <w:pStyle w:val="Heading2"/>
      </w:pPr>
      <w:r>
        <w:t xml:space="preserve">2. Map Lifecycle &amp; 3. Collect Data</w:t>
      </w:r>
    </w:p>
    <w:p>
      <w:pPr>
        <w:pStyle w:val="FirstParagraph"/>
      </w:pPr>
      <w:r>
        <w:t xml:space="preserve">The lifecycle of \'inuoixktvm\' has been mapped into several key stages, and data has been collected from primary (provided parameters) and secondary (industry-average emission factors) sources. The detailed Bill of Materials (BOM), energy usage, transport logistics, product lifespan, and end-of-life scenarios form the basis of the inventory.</w:t>
      </w:r>
    </w:p>
    <w:bookmarkStart w:id="51" w:name="X4281906336ba6dcee687519aed46303797cfd7d"/>
    <w:p>
      <w:pPr>
        <w:pStyle w:val="Heading3"/>
      </w:pPr>
      <w:r>
        <w:t xml:space="preserve">Detailed Bill of Materials (BOM) and Material Inputs:</w:t>
      </w:r>
    </w:p>
    <w:p>
      <w:pPr>
        <w:pStyle w:val="FirstParagraph"/>
      </w:pPr>
      <w:r>
        <w:t xml:space="preserve">The following table details the components of \'inuoixktvm\', their quantities, and associated emission factors used for calculation. These values are crucial for high-accuracy material impact calculation, replacing default estimates where specific data was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Calculated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3.750</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0.640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6.308</w:t>
            </w:r>
          </w:p>
        </w:tc>
        <w:tc>
          <w:tcPr/>
          <w:p>
            <w:pPr>
              <w:pStyle w:val="Compact"/>
              <w:jc w:val="left"/>
            </w:pPr>
            <w:r>
              <w:t xml:space="preserve">0.631</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3.524</w:t>
            </w:r>
          </w:p>
        </w:tc>
        <w:tc>
          <w:tcPr/>
          <w:p>
            <w:pPr>
              <w:pStyle w:val="Compact"/>
              <w:jc w:val="left"/>
            </w:pPr>
            <w:r>
              <w:t xml:space="preserve">0.070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0.100</w:t>
            </w:r>
          </w:p>
        </w:tc>
      </w:tr>
    </w:tbl>
    <w:p>
      <w:pPr>
        <w:pStyle w:val="BodyText"/>
      </w:pPr>
      <w:r>
        <w:rPr>
          <w:iCs/>
          <w:i/>
        </w:rPr>
        <w:t xml:space="preserve">Note on Emission Factors:</w:t>
      </w:r>
      <w:r>
        <w:t xml:space="preserve"> </w:t>
      </w:r>
      <w:r>
        <w:t xml:space="preserve">The emission factors used are derived from industry-standard databases (e.g., Ecoinvent/DEFRA equivalents) or representative values. Specifically, the emission factor for Lithium-ion Battery production reflects primary material production, Copper Wiring is based on European data, ABS plastic on European data, and Cardboard on an average of cradle-to-gate values. Aluminum is a conservative estimate given global variations.</w:t>
      </w:r>
    </w:p>
    <w:bookmarkEnd w:id="51"/>
    <w:bookmarkStart w:id="52" w:name="production-energy-inputs-1"/>
    <w:p>
      <w:pPr>
        <w:pStyle w:val="Heading3"/>
      </w:pPr>
      <w:r>
        <w:t xml:space="preserve">Production Energy Inputs:</w:t>
      </w:r>
    </w:p>
    <w:p>
      <w:pPr>
        <w:numPr>
          <w:ilvl w:val="0"/>
          <w:numId w:val="1021"/>
        </w:numPr>
        <w:pStyle w:val="Compact"/>
      </w:pPr>
      <w:r>
        <w:rPr>
          <w:bCs/>
          <w:b/>
        </w:rPr>
        <w:t xml:space="preserve">Energy Intensity (kWh/unit):</w:t>
      </w:r>
      <w:r>
        <w:t xml:space="preserve"> </w:t>
      </w:r>
      <w:r>
        <w:t xml:space="preserve">otgrqwoumx (8 kWh/unit).</w:t>
      </w:r>
    </w:p>
    <w:p>
      <w:pPr>
        <w:numPr>
          <w:ilvl w:val="0"/>
          <w:numId w:val="1021"/>
        </w:numPr>
        <w:pStyle w:val="Compact"/>
      </w:pPr>
      <w:r>
        <w:rPr>
          <w:bCs/>
          <w:b/>
        </w:rPr>
        <w:t xml:space="preserve">Renewable Energy Usage:</w:t>
      </w:r>
      <w:r>
        <w:t xml:space="preserve"> </w:t>
      </w:r>
      <w:r>
        <w:t xml:space="preserve">rpeqvkyipm (60%).</w:t>
      </w:r>
    </w:p>
    <w:p>
      <w:pPr>
        <w:numPr>
          <w:ilvl w:val="0"/>
          <w:numId w:val="1021"/>
        </w:numPr>
        <w:pStyle w:val="Compact"/>
      </w:pPr>
      <w:r>
        <w:rPr>
          <w:bCs/>
          <w:b/>
        </w:rPr>
        <w:t xml:space="preserve">Grid Electricity Emission Factor (China):</w:t>
      </w:r>
      <w:r>
        <w:t xml:space="preserve"> </w:t>
      </w:r>
      <w:r>
        <w:t xml:space="preserve">0.6205 kg CO2e/kWh (2023 national average).</w:t>
      </w:r>
    </w:p>
    <w:p>
      <w:pPr>
        <w:numPr>
          <w:ilvl w:val="0"/>
          <w:numId w:val="1021"/>
        </w:numPr>
        <w:pStyle w:val="Compact"/>
      </w:pPr>
      <w:r>
        <w:rPr>
          <w:bCs/>
          <w:b/>
        </w:rPr>
        <w:t xml:space="preserve">Effective Grid Mix for Production:</w:t>
      </w:r>
      <w:r>
        <w:t xml:space="preserve"> </w:t>
      </w:r>
      <w:r>
        <w:t xml:space="preserve">(1 - 0.60) * 0.6205 kg CO2e/kWh = 0.2482 kg CO2e/kWh.</w:t>
      </w:r>
    </w:p>
    <w:bookmarkEnd w:id="52"/>
    <w:bookmarkStart w:id="53" w:name="logistics-data-1"/>
    <w:p>
      <w:pPr>
        <w:pStyle w:val="Heading3"/>
      </w:pPr>
      <w:r>
        <w:t xml:space="preserve">Logistics Data:</w:t>
      </w:r>
    </w:p>
    <w:p>
      <w:pPr>
        <w:numPr>
          <w:ilvl w:val="0"/>
          <w:numId w:val="1022"/>
        </w:numPr>
        <w:pStyle w:val="Compact"/>
      </w:pPr>
      <w:r>
        <w:rPr>
          <w:bCs/>
          <w:b/>
        </w:rPr>
        <w:t xml:space="preserve">Total Product Weight (per unit):</w:t>
      </w:r>
      <w:r>
        <w:t xml:space="preserve"> </w:t>
      </w:r>
      <w:r>
        <w:t xml:space="preserve">Sum of BOM quantities = 0.97 kg.</w:t>
      </w:r>
    </w:p>
    <w:p>
      <w:pPr>
        <w:numPr>
          <w:ilvl w:val="0"/>
          <w:numId w:val="1022"/>
        </w:numPr>
        <w:pStyle w:val="Compact"/>
      </w:pPr>
      <w:r>
        <w:rPr>
          <w:bCs/>
          <w:b/>
        </w:rPr>
        <w:t xml:space="preserve">Transport Mode:</w:t>
      </w:r>
      <w:r>
        <w:t xml:space="preserve"> </w:t>
      </w:r>
      <w:r>
        <w:t xml:space="preserve">Ocean Freight (long haul), Road Freight (Heavy Goods Vehicle - HGV) for regional distribution, Road Freight (Light Commercial Vehicle - LCV) for last-mile delivery.</w:t>
      </w:r>
    </w:p>
    <w:p>
      <w:pPr>
        <w:numPr>
          <w:ilvl w:val="0"/>
          <w:numId w:val="1022"/>
        </w:numPr>
        <w:pStyle w:val="Compact"/>
      </w:pPr>
      <w:r>
        <w:rPr>
          <w:bCs/>
          <w:b/>
        </w:rPr>
        <w:t xml:space="preserve">Transport Distance (mjleokdjsp, assumed based on geographic scope):</w:t>
      </w:r>
    </w:p>
    <w:p>
      <w:pPr>
        <w:numPr>
          <w:ilvl w:val="1"/>
          <w:numId w:val="1023"/>
        </w:numPr>
        <w:pStyle w:val="Compact"/>
      </w:pPr>
      <w:r>
        <w:t xml:space="preserve">Inbound Materials to Factory (China): 500 km (Road)</w:t>
      </w:r>
    </w:p>
    <w:p>
      <w:pPr>
        <w:numPr>
          <w:ilvl w:val="1"/>
          <w:numId w:val="1023"/>
        </w:numPr>
        <w:pStyle w:val="Compact"/>
      </w:pPr>
      <w:r>
        <w:t xml:space="preserve">Finished Product from China to Europe Distribution Hub: 15,000 km (Ocean)</w:t>
      </w:r>
    </w:p>
    <w:p>
      <w:pPr>
        <w:numPr>
          <w:ilvl w:val="1"/>
          <w:numId w:val="1023"/>
        </w:numPr>
        <w:pStyle w:val="Compact"/>
      </w:pPr>
      <w:r>
        <w:t xml:space="preserve">Distribution within Europe (to retailer/customer hub): 300 km (Road HGV)</w:t>
      </w:r>
    </w:p>
    <w:p>
      <w:pPr>
        <w:numPr>
          <w:ilvl w:val="0"/>
          <w:numId w:val="1022"/>
        </w:numPr>
        <w:pStyle w:val="Compact"/>
      </w:pPr>
      <w:r>
        <w:rPr>
          <w:bCs/>
          <w:b/>
        </w:rPr>
        <w:t xml:space="preserve">Last-Mile Delivery Channel (Delivery Type, assumed):</w:t>
      </w:r>
      <w:r>
        <w:t xml:space="preserve"> </w:t>
      </w:r>
      <w:r>
        <w:t xml:space="preserve">Parcel Delivery (LCV) for an average of 50 km.</w:t>
      </w:r>
    </w:p>
    <w:p>
      <w:pPr>
        <w:numPr>
          <w:ilvl w:val="0"/>
          <w:numId w:val="1022"/>
        </w:numPr>
        <w:pStyle w:val="Compact"/>
      </w:pPr>
      <w:r>
        <w:rPr>
          <w:bCs/>
          <w:b/>
        </w:rPr>
        <w:t xml:space="preserve">Transport Emission Factors (representative averages):</w:t>
      </w:r>
    </w:p>
    <w:p>
      <w:pPr>
        <w:numPr>
          <w:ilvl w:val="1"/>
          <w:numId w:val="1024"/>
        </w:numPr>
        <w:pStyle w:val="Compact"/>
      </w:pPr>
      <w:r>
        <w:t xml:space="preserve">Road Freight (HGV): 0.00008 kg CO2e/kg-km (0.08 kg CO2e/tonne-km)</w:t>
      </w:r>
    </w:p>
    <w:p>
      <w:pPr>
        <w:numPr>
          <w:ilvl w:val="1"/>
          <w:numId w:val="1024"/>
        </w:numPr>
        <w:pStyle w:val="Compact"/>
      </w:pPr>
      <w:r>
        <w:t xml:space="preserve">Ocean Freight: 0.000005 kg CO2e/kg-km (0.005 kg CO2e/tonne-km)</w:t>
      </w:r>
    </w:p>
    <w:p>
      <w:pPr>
        <w:numPr>
          <w:ilvl w:val="1"/>
          <w:numId w:val="1024"/>
        </w:numPr>
        <w:pStyle w:val="Compact"/>
      </w:pPr>
      <w:r>
        <w:t xml:space="preserve">Road Freight (LCV - Last-Mile): 0.0002 kg CO2e/kg-km (0.2 kg CO2e/tonne-km)</w:t>
      </w:r>
    </w:p>
    <w:bookmarkEnd w:id="53"/>
    <w:bookmarkStart w:id="54" w:name="use-phase-data-1"/>
    <w:p>
      <w:pPr>
        <w:pStyle w:val="Heading3"/>
      </w:pPr>
      <w:r>
        <w:t xml:space="preserve">Use Phase Data:</w:t>
      </w:r>
    </w:p>
    <w:p>
      <w:pPr>
        <w:numPr>
          <w:ilvl w:val="0"/>
          <w:numId w:val="1025"/>
        </w:numPr>
        <w:pStyle w:val="Compact"/>
      </w:pPr>
      <w:r>
        <w:rPr>
          <w:bCs/>
          <w:b/>
        </w:rPr>
        <w:t xml:space="preserve">Product Lifespan (kiynyofosh):</w:t>
      </w:r>
      <w:r>
        <w:t xml:space="preserve"> </w:t>
      </w:r>
      <w:r>
        <w:t xml:space="preserve">7 years.</w:t>
      </w:r>
    </w:p>
    <w:p>
      <w:pPr>
        <w:numPr>
          <w:ilvl w:val="0"/>
          <w:numId w:val="1025"/>
        </w:numPr>
        <w:pStyle w:val="Compact"/>
      </w:pPr>
      <w:r>
        <w:rPr>
          <w:bCs/>
          <w:b/>
        </w:rPr>
        <w:t xml:space="preserve">Energy Consumption in Use (gfzmpkxlru):</w:t>
      </w:r>
      <w:r>
        <w:t xml:space="preserve"> </w:t>
      </w:r>
      <w:r>
        <w:t xml:space="preserve">0.05 kWh/day.</w:t>
      </w:r>
    </w:p>
    <w:p>
      <w:pPr>
        <w:numPr>
          <w:ilvl w:val="0"/>
          <w:numId w:val="1025"/>
        </w:numPr>
        <w:pStyle w:val="Compact"/>
      </w:pPr>
      <w:r>
        <w:rPr>
          <w:bCs/>
          <w:b/>
        </w:rPr>
        <w:t xml:space="preserve">Grid Electricity Emission Factor (Europe, for user):</w:t>
      </w:r>
      <w:r>
        <w:t xml:space="preserve"> </w:t>
      </w:r>
      <w:r>
        <w:t xml:space="preserve">0.255 kg CO2e/kWh (2022 EU average).</w:t>
      </w:r>
    </w:p>
    <w:bookmarkEnd w:id="54"/>
    <w:bookmarkStart w:id="55" w:name="end-of-life-eol-scenarios-1"/>
    <w:p>
      <w:pPr>
        <w:pStyle w:val="Heading3"/>
      </w:pPr>
      <w:r>
        <w:t xml:space="preserve">End-of-Life (EoL) Scenarios:</w:t>
      </w:r>
    </w:p>
    <w:p>
      <w:pPr>
        <w:numPr>
          <w:ilvl w:val="0"/>
          <w:numId w:val="1026"/>
        </w:numPr>
        <w:pStyle w:val="Compact"/>
      </w:pPr>
      <w:r>
        <w:rPr>
          <w:bCs/>
          <w:b/>
        </w:rPr>
        <w:t xml:space="preserve">Recyclability Percentage (dtmgretvvo):</w:t>
      </w:r>
      <w:r>
        <w:t xml:space="preserve"> </w:t>
      </w:r>
      <w:r>
        <w:t xml:space="preserve">75%.</w:t>
      </w:r>
    </w:p>
    <w:p>
      <w:pPr>
        <w:numPr>
          <w:ilvl w:val="0"/>
          <w:numId w:val="1026"/>
        </w:numPr>
        <w:pStyle w:val="Compact"/>
      </w:pPr>
      <w:r>
        <w:rPr>
          <w:bCs/>
          <w:b/>
        </w:rPr>
        <w:t xml:space="preserve">Circular/Take-back Programs (nionjlhmdk):</w:t>
      </w:r>
      <w:r>
        <w:t xml:space="preserve"> </w:t>
      </w:r>
      <w:r>
        <w:t xml:space="preserve">Yes, a formal take-back and recycling program exists for key components.</w:t>
      </w:r>
    </w:p>
    <w:p>
      <w:pPr>
        <w:numPr>
          <w:ilvl w:val="0"/>
          <w:numId w:val="1026"/>
        </w:numPr>
        <w:pStyle w:val="Compact"/>
      </w:pPr>
      <w:r>
        <w:rPr>
          <w:bCs/>
          <w:b/>
        </w:rPr>
        <w:t xml:space="preserve">EoL Emission Factors (representative averages):</w:t>
      </w:r>
    </w:p>
    <w:p>
      <w:pPr>
        <w:numPr>
          <w:ilvl w:val="1"/>
          <w:numId w:val="1027"/>
        </w:numPr>
        <w:pStyle w:val="Compact"/>
      </w:pPr>
      <w:r>
        <w:t xml:space="preserve">Recycling Credit (avoided virgin material): -0.5 kg CO2e/kg</w:t>
      </w:r>
    </w:p>
    <w:p>
      <w:pPr>
        <w:numPr>
          <w:ilvl w:val="1"/>
          <w:numId w:val="1027"/>
        </w:numPr>
        <w:pStyle w:val="Compact"/>
      </w:pPr>
      <w:r>
        <w:t xml:space="preserve">Disposal (e.g., Landfill/Incineration): +1.0 kg CO2e/kg</w:t>
      </w:r>
    </w:p>
    <w:bookmarkEnd w:id="55"/>
    <w:bookmarkEnd w:id="56"/>
    <w:p>
      <w:r>
        <w:pict>
          <v:rect style="width:0;height:1.5pt" o:hralign="center" o:hrstd="t" o:hr="t"/>
        </w:pict>
      </w:r>
    </w:p>
    <w:bookmarkStart w:id="65" w:name="calculate-emissions-1"/>
    <w:p>
      <w:pPr>
        <w:pStyle w:val="Heading2"/>
      </w:pPr>
      <w:r>
        <w:t xml:space="preserve">4. Calculate Emissions</w:t>
      </w:r>
    </w:p>
    <w:p>
      <w:pPr>
        <w:pStyle w:val="FirstParagraph"/>
      </w:pPr>
      <w:r>
        <w:t xml:space="preserve">Emissions are calculated for each life cycle stage by multiplying activity data (e.g., material quantity, energy consumption, transport distance) by the corresponding emission factors. These are then categorized according to the GHG Protocol Scopes.</w:t>
      </w:r>
    </w:p>
    <w:bookmarkStart w:id="62" w:name="calculation-breakdown-1"/>
    <w:p>
      <w:pPr>
        <w:pStyle w:val="Heading3"/>
      </w:pPr>
      <w:r>
        <w:t xml:space="preserve">Calculation Breakdown:</w:t>
      </w:r>
    </w:p>
    <w:bookmarkStart w:id="57" w:name="X9220f9fa0556ddbe8ec4453fd39d77abadf5afe"/>
    <w:p>
      <w:pPr>
        <w:pStyle w:val="Heading4"/>
      </w:pPr>
      <w:r>
        <w:t xml:space="preserve">A. Material Acquisition &amp; Processing (Scope 3, Category 1: Purchased Goods and Services)</w:t>
      </w:r>
    </w:p>
    <w:p>
      <w:pPr>
        <w:pStyle w:val="FirstParagraph"/>
      </w:pPr>
      <w:r>
        <w:t xml:space="preserve">This covers the upstream emissions associated with producing the raw materials in the BOM.</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Total CO2e (kg)</w:t>
            </w:r>
          </w:p>
        </w:tc>
      </w:tr>
      <w:tr>
        <w:tc>
          <w:tcPr/>
          <w:p>
            <w:pPr>
              <w:pStyle w:val="Compact"/>
              <w:jc w:val="left"/>
            </w:pPr>
            <w:r>
              <w:t xml:space="preserve">Aluminum Casing</w:t>
            </w:r>
          </w:p>
        </w:tc>
        <w:tc>
          <w:tcPr/>
          <w:p>
            <w:pPr>
              <w:pStyle w:val="Compact"/>
              <w:jc w:val="left"/>
            </w:pPr>
            <w:r>
              <w:t xml:space="preserve">0.5</w:t>
            </w:r>
          </w:p>
        </w:tc>
        <w:tc>
          <w:tcPr/>
          <w:p>
            <w:pPr>
              <w:pStyle w:val="Compact"/>
              <w:jc w:val="left"/>
            </w:pPr>
            <w:r>
              <w:t xml:space="preserve">7.5</w:t>
            </w:r>
          </w:p>
        </w:tc>
        <w:tc>
          <w:tcPr/>
          <w:p>
            <w:pPr>
              <w:pStyle w:val="Compact"/>
              <w:jc w:val="left"/>
            </w:pPr>
            <w:r>
              <w:t xml:space="preserve">3.750</w:t>
            </w:r>
          </w:p>
        </w:tc>
      </w:tr>
      <w:tr>
        <w:tc>
          <w:tcPr/>
          <w:p>
            <w:pPr>
              <w:pStyle w:val="Compact"/>
              <w:jc w:val="left"/>
            </w:pPr>
            <w:r>
              <w:t xml:space="preserve">Plastic Housing (ABS)</w:t>
            </w:r>
          </w:p>
        </w:tc>
        <w:tc>
          <w:tcPr/>
          <w:p>
            <w:pPr>
              <w:pStyle w:val="Compact"/>
              <w:jc w:val="left"/>
            </w:pPr>
            <w:r>
              <w:t xml:space="preserve">0.2</w:t>
            </w:r>
          </w:p>
        </w:tc>
        <w:tc>
          <w:tcPr/>
          <w:p>
            <w:pPr>
              <w:pStyle w:val="Compact"/>
              <w:jc w:val="left"/>
            </w:pPr>
            <w:r>
              <w:t xml:space="preserve">3.2</w:t>
            </w:r>
          </w:p>
        </w:tc>
        <w:tc>
          <w:tcPr/>
          <w:p>
            <w:pPr>
              <w:pStyle w:val="Compact"/>
              <w:jc w:val="left"/>
            </w:pPr>
            <w:r>
              <w:t xml:space="preserve">0.640</w:t>
            </w:r>
          </w:p>
        </w:tc>
      </w:tr>
      <w:tr>
        <w:tc>
          <w:tcPr/>
          <w:p>
            <w:pPr>
              <w:pStyle w:val="Compact"/>
              <w:jc w:val="left"/>
            </w:pPr>
            <w:r>
              <w:t xml:space="preserve">Printed Circuit Board (PCB)</w:t>
            </w:r>
          </w:p>
        </w:tc>
        <w:tc>
          <w:tcPr/>
          <w:p>
            <w:pPr>
              <w:pStyle w:val="Compact"/>
              <w:jc w:val="left"/>
            </w:pPr>
            <w:r>
              <w:t xml:space="preserve">0.05</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Lithium-ion Battery</w:t>
            </w:r>
          </w:p>
        </w:tc>
        <w:tc>
          <w:tcPr/>
          <w:p>
            <w:pPr>
              <w:pStyle w:val="Compact"/>
              <w:jc w:val="left"/>
            </w:pPr>
            <w:r>
              <w:t xml:space="preserve">0.1</w:t>
            </w:r>
          </w:p>
        </w:tc>
        <w:tc>
          <w:tcPr/>
          <w:p>
            <w:pPr>
              <w:pStyle w:val="Compact"/>
              <w:jc w:val="left"/>
            </w:pPr>
            <w:r>
              <w:t xml:space="preserve">6.308</w:t>
            </w:r>
          </w:p>
        </w:tc>
        <w:tc>
          <w:tcPr/>
          <w:p>
            <w:pPr>
              <w:pStyle w:val="Compact"/>
              <w:jc w:val="left"/>
            </w:pPr>
            <w:r>
              <w:t xml:space="preserve">0.631</w:t>
            </w:r>
          </w:p>
        </w:tc>
      </w:tr>
      <w:tr>
        <w:tc>
          <w:tcPr/>
          <w:p>
            <w:pPr>
              <w:pStyle w:val="Compact"/>
              <w:jc w:val="left"/>
            </w:pPr>
            <w:r>
              <w:t xml:space="preserve">Copper Wiring</w:t>
            </w:r>
          </w:p>
        </w:tc>
        <w:tc>
          <w:tcPr/>
          <w:p>
            <w:pPr>
              <w:pStyle w:val="Compact"/>
              <w:jc w:val="left"/>
            </w:pPr>
            <w:r>
              <w:t xml:space="preserve">0.02</w:t>
            </w:r>
          </w:p>
        </w:tc>
        <w:tc>
          <w:tcPr/>
          <w:p>
            <w:pPr>
              <w:pStyle w:val="Compact"/>
              <w:jc w:val="left"/>
            </w:pPr>
            <w:r>
              <w:t xml:space="preserve">3.524</w:t>
            </w:r>
          </w:p>
        </w:tc>
        <w:tc>
          <w:tcPr/>
          <w:p>
            <w:pPr>
              <w:pStyle w:val="Compact"/>
              <w:jc w:val="left"/>
            </w:pPr>
            <w:r>
              <w:t xml:space="preserve">0.070</w:t>
            </w:r>
          </w:p>
        </w:tc>
      </w:tr>
      <w:tr>
        <w:tc>
          <w:tcPr/>
          <w:p>
            <w:pPr>
              <w:pStyle w:val="Compact"/>
              <w:jc w:val="left"/>
            </w:pPr>
            <w:r>
              <w:t xml:space="preserve">Packaging (Cardboard)</w:t>
            </w:r>
          </w:p>
        </w:tc>
        <w:tc>
          <w:tcPr/>
          <w:p>
            <w:pPr>
              <w:pStyle w:val="Compact"/>
              <w:jc w:val="left"/>
            </w:pPr>
            <w:r>
              <w:t xml:space="preserve">0.1</w:t>
            </w:r>
          </w:p>
        </w:tc>
        <w:tc>
          <w:tcPr/>
          <w:p>
            <w:pPr>
              <w:pStyle w:val="Compact"/>
              <w:jc w:val="left"/>
            </w:pPr>
            <w:r>
              <w:t xml:space="preserve">1.0</w:t>
            </w:r>
          </w:p>
        </w:tc>
        <w:tc>
          <w:tcPr/>
          <w:p>
            <w:pPr>
              <w:pStyle w:val="Compact"/>
              <w:jc w:val="left"/>
            </w:pPr>
            <w:r>
              <w:t xml:space="preserve">0.100</w:t>
            </w:r>
          </w:p>
        </w:tc>
      </w:tr>
      <w:tr>
        <w:tc>
          <w:tcPr/>
          <w:p>
            <w:pPr>
              <w:pStyle w:val="Compact"/>
              <w:jc w:val="left"/>
            </w:pPr>
            <w:r>
              <w:rPr>
                <w:bCs/>
                <w:b/>
              </w:rPr>
              <w:t xml:space="preserve">Total Material Emissions</w:t>
            </w:r>
          </w:p>
        </w:tc>
        <w:tc>
          <w:tcPr/>
          <w:p>
            <w:pPr>
              <w:pStyle w:val="Compact"/>
            </w:pPr>
          </w:p>
        </w:tc>
        <w:tc>
          <w:tcPr/>
          <w:p>
            <w:pPr>
              <w:pStyle w:val="Compact"/>
            </w:pPr>
          </w:p>
        </w:tc>
        <w:tc>
          <w:tcPr/>
          <w:p>
            <w:pPr>
              <w:pStyle w:val="Compact"/>
              <w:jc w:val="left"/>
            </w:pPr>
            <w:r>
              <w:rPr>
                <w:bCs/>
                <w:b/>
              </w:rPr>
              <w:t xml:space="preserve">6.441</w:t>
            </w:r>
          </w:p>
        </w:tc>
      </w:tr>
    </w:tbl>
    <w:bookmarkEnd w:id="57"/>
    <w:bookmarkStart w:id="58" w:name="X5087ee87b0eb0e65d11f90d78b8ccc916f0df7b"/>
    <w:p>
      <w:pPr>
        <w:pStyle w:val="Heading4"/>
      </w:pPr>
      <w:r>
        <w:t xml:space="preserve">B. Manufacturing (Scope 2: Purchased Electricity)</w:t>
      </w:r>
    </w:p>
    <w:p>
      <w:pPr>
        <w:pStyle w:val="FirstParagraph"/>
      </w:pPr>
      <w:r>
        <w:t xml:space="preserve">Emissions from energy consumed during the production of inuoixktvm in the factory in China.</w:t>
      </w:r>
    </w:p>
    <w:p>
      <w:pPr>
        <w:numPr>
          <w:ilvl w:val="0"/>
          <w:numId w:val="1028"/>
        </w:numPr>
        <w:pStyle w:val="Compact"/>
      </w:pPr>
      <w:r>
        <w:t xml:space="preserve">Energy Intensity: 8 kWh/unit</w:t>
      </w:r>
    </w:p>
    <w:p>
      <w:pPr>
        <w:numPr>
          <w:ilvl w:val="0"/>
          <w:numId w:val="1028"/>
        </w:numPr>
        <w:pStyle w:val="Compact"/>
      </w:pPr>
      <w:r>
        <w:t xml:space="preserve">Effective Electricity Emission Factor: 0.2482 kg CO2e/kWh (considering 60% renewable energy usage)</w:t>
      </w:r>
    </w:p>
    <w:p>
      <w:pPr>
        <w:numPr>
          <w:ilvl w:val="0"/>
          <w:numId w:val="1028"/>
        </w:numPr>
        <w:pStyle w:val="Compact"/>
      </w:pPr>
      <w:r>
        <w:rPr>
          <w:bCs/>
          <w:b/>
        </w:rPr>
        <w:t xml:space="preserve">Manufacturing Emissions:</w:t>
      </w:r>
      <w:r>
        <w:t xml:space="preserve"> </w:t>
      </w:r>
      <w:r>
        <w:t xml:space="preserve">8 kWh/unit * 0.2482 kg CO2e/kWh =</w:t>
      </w:r>
      <w:r>
        <w:t xml:space="preserve"> </w:t>
      </w:r>
      <w:r>
        <w:rPr>
          <w:bCs/>
          <w:b/>
        </w:rPr>
        <w:t xml:space="preserve">1.986 kg CO2e</w:t>
      </w:r>
    </w:p>
    <w:bookmarkEnd w:id="58"/>
    <w:bookmarkStart w:id="59" w:name="Xccaf013ea2db1d3e91e62dd672ad447b5090512"/>
    <w:p>
      <w:pPr>
        <w:pStyle w:val="Heading4"/>
      </w:pPr>
      <w:r>
        <w:t xml:space="preserve">C. Transportation &amp; Distribution (Scope 3, Category 4 &amp; 9)</w:t>
      </w:r>
    </w:p>
    <w:p>
      <w:pPr>
        <w:pStyle w:val="FirstParagraph"/>
      </w:pPr>
      <w:r>
        <w:t xml:space="preserve">This includes inbound logistics for raw materials, outbound logistics for the finished product, and last-mile delivery.</w:t>
      </w:r>
    </w:p>
    <w:p>
      <w:pPr>
        <w:pStyle w:val="BodyText"/>
      </w:pPr>
      <w:r>
        <w:rPr>
          <w:bCs/>
          <w:b/>
        </w:rPr>
        <w:t xml:space="preserve">C.1. Upstream Transportation (Scope 3, Category 4)</w:t>
      </w:r>
    </w:p>
    <w:p>
      <w:pPr>
        <w:numPr>
          <w:ilvl w:val="0"/>
          <w:numId w:val="1029"/>
        </w:numPr>
        <w:pStyle w:val="Compact"/>
      </w:pPr>
      <w:r>
        <w:rPr>
          <w:bCs/>
          <w:b/>
        </w:rPr>
        <w:t xml:space="preserve">Inbound Materials to Factory (Road):</w:t>
      </w:r>
      <w:r>
        <w:t xml:space="preserve"> </w:t>
      </w:r>
      <w:r>
        <w:t xml:space="preserve">0.97 kg * 500 km * 0.00008 kg CO2e/kg-km = 0.0388 kg CO2e</w:t>
      </w:r>
    </w:p>
    <w:p>
      <w:pPr>
        <w:numPr>
          <w:ilvl w:val="0"/>
          <w:numId w:val="1029"/>
        </w:numPr>
        <w:pStyle w:val="Compact"/>
      </w:pPr>
      <w:r>
        <w:rPr>
          <w:bCs/>
          <w:b/>
        </w:rPr>
        <w:t xml:space="preserve">Finished Product Factory to Europe Hub (Ocean):</w:t>
      </w:r>
      <w:r>
        <w:t xml:space="preserve"> </w:t>
      </w:r>
      <w:r>
        <w:t xml:space="preserve">0.97 kg * 15,000 km * 0.000005 kg CO2e/kg-km = 0.0728 kg CO2e</w:t>
      </w:r>
    </w:p>
    <w:p>
      <w:pPr>
        <w:numPr>
          <w:ilvl w:val="0"/>
          <w:numId w:val="1029"/>
        </w:numPr>
        <w:pStyle w:val="Compact"/>
      </w:pPr>
      <w:r>
        <w:rPr>
          <w:bCs/>
          <w:b/>
        </w:rPr>
        <w:t xml:space="preserve">Distribution within Europe (Road HGV):</w:t>
      </w:r>
      <w:r>
        <w:t xml:space="preserve"> </w:t>
      </w:r>
      <w:r>
        <w:t xml:space="preserve">0.97 kg * 300 km * 0.00008 kg CO2e/kg-km = 0.0233 kg CO2e</w:t>
      </w:r>
    </w:p>
    <w:p>
      <w:pPr>
        <w:numPr>
          <w:ilvl w:val="0"/>
          <w:numId w:val="1029"/>
        </w:numPr>
        <w:pStyle w:val="Compact"/>
      </w:pPr>
      <w:r>
        <w:rPr>
          <w:bCs/>
          <w:b/>
        </w:rPr>
        <w:t xml:space="preserve">Total Upstream Transport Emissions: 0.1349 kg CO2e</w:t>
      </w:r>
    </w:p>
    <w:p>
      <w:pPr>
        <w:pStyle w:val="FirstParagraph"/>
      </w:pPr>
      <w:r>
        <w:rPr>
          <w:bCs/>
          <w:b/>
        </w:rPr>
        <w:t xml:space="preserve">C.2. Downstream Transportation (Scope 3, Category 9)</w:t>
      </w:r>
    </w:p>
    <w:p>
      <w:pPr>
        <w:numPr>
          <w:ilvl w:val="0"/>
          <w:numId w:val="1030"/>
        </w:numPr>
        <w:pStyle w:val="Compact"/>
      </w:pPr>
      <w:r>
        <w:rPr>
          <w:bCs/>
          <w:b/>
        </w:rPr>
        <w:t xml:space="preserve">Last-Mile Delivery (Road LCV):</w:t>
      </w:r>
      <w:r>
        <w:t xml:space="preserve"> </w:t>
      </w:r>
      <w:r>
        <w:t xml:space="preserve">0.97 kg * 50 km * 0.0002 kg CO2e/kg-km = 0.0097 kg CO2e</w:t>
      </w:r>
    </w:p>
    <w:p>
      <w:pPr>
        <w:numPr>
          <w:ilvl w:val="0"/>
          <w:numId w:val="1030"/>
        </w:numPr>
        <w:pStyle w:val="Compact"/>
      </w:pPr>
      <w:r>
        <w:rPr>
          <w:bCs/>
          <w:b/>
        </w:rPr>
        <w:t xml:space="preserve">Total Downstream Transport Emissions: 0.0097 kg CO2e</w:t>
      </w:r>
    </w:p>
    <w:p>
      <w:pPr>
        <w:pStyle w:val="FirstParagraph"/>
      </w:pPr>
      <w:r>
        <w:rPr>
          <w:bCs/>
          <w:b/>
        </w:rPr>
        <w:t xml:space="preserve">Total Transportation &amp; Distribution Emissions: 0.1349 + 0.0097 = 0.1446 kg CO2e</w:t>
      </w:r>
    </w:p>
    <w:bookmarkEnd w:id="59"/>
    <w:bookmarkStart w:id="60" w:name="X9f186f9fd744836fc2e51ca7d7e4bd93752bf0d"/>
    <w:p>
      <w:pPr>
        <w:pStyle w:val="Heading4"/>
      </w:pPr>
      <w:r>
        <w:t xml:space="preserve">D. Use Phase (Scope 3, Category 11: Use of Sold Products)</w:t>
      </w:r>
    </w:p>
    <w:p>
      <w:pPr>
        <w:pStyle w:val="FirstParagraph"/>
      </w:pPr>
      <w:r>
        <w:t xml:space="preserve">Emissions from energy consumed by the product during its lifespan by the end-user in Europe.</w:t>
      </w:r>
    </w:p>
    <w:p>
      <w:pPr>
        <w:numPr>
          <w:ilvl w:val="0"/>
          <w:numId w:val="1031"/>
        </w:numPr>
        <w:pStyle w:val="Compact"/>
      </w:pPr>
      <w:r>
        <w:t xml:space="preserve">Total Energy Consumption: 0.05 kWh/day * 365 days/year * 7 years = 127.75 kWh</w:t>
      </w:r>
    </w:p>
    <w:p>
      <w:pPr>
        <w:numPr>
          <w:ilvl w:val="0"/>
          <w:numId w:val="1031"/>
        </w:numPr>
        <w:pStyle w:val="Compact"/>
      </w:pPr>
      <w:r>
        <w:t xml:space="preserve">European Grid Electricity Emission Factor: 0.255 kg CO2e/kWh</w:t>
      </w:r>
    </w:p>
    <w:p>
      <w:pPr>
        <w:numPr>
          <w:ilvl w:val="0"/>
          <w:numId w:val="1031"/>
        </w:numPr>
        <w:pStyle w:val="Compact"/>
      </w:pPr>
      <w:r>
        <w:rPr>
          <w:bCs/>
          <w:b/>
        </w:rPr>
        <w:t xml:space="preserve">Use Phase Emissions:</w:t>
      </w:r>
      <w:r>
        <w:t xml:space="preserve"> </w:t>
      </w:r>
      <w:r>
        <w:t xml:space="preserve">127.75 kWh * 0.255 kg CO2e/kWh =</w:t>
      </w:r>
      <w:r>
        <w:t xml:space="preserve"> </w:t>
      </w:r>
      <w:r>
        <w:rPr>
          <w:bCs/>
          <w:b/>
        </w:rPr>
        <w:t xml:space="preserve">32.576 kg CO2e</w:t>
      </w:r>
    </w:p>
    <w:bookmarkEnd w:id="60"/>
    <w:bookmarkStart w:id="61" w:name="X44a44c46a436fe68c6ed72501a00b1710ac35f6"/>
    <w:p>
      <w:pPr>
        <w:pStyle w:val="Heading4"/>
      </w:pPr>
      <w:r>
        <w:t xml:space="preserve">E. End-of-Life (EoL) (Scope 3, Category 12: End-of-Life Treatment of Sold Products)</w:t>
      </w:r>
    </w:p>
    <w:p>
      <w:pPr>
        <w:pStyle w:val="FirstParagraph"/>
      </w:pPr>
      <w:r>
        <w:t xml:space="preserve">Emissions and credits associated with the disposal and recycling of the product at the end of its life.</w:t>
      </w:r>
    </w:p>
    <w:p>
      <w:pPr>
        <w:numPr>
          <w:ilvl w:val="0"/>
          <w:numId w:val="1032"/>
        </w:numPr>
        <w:pStyle w:val="Compact"/>
      </w:pPr>
      <w:r>
        <w:t xml:space="preserve">Product Mass at EoL: 0.97 kg</w:t>
      </w:r>
    </w:p>
    <w:p>
      <w:pPr>
        <w:numPr>
          <w:ilvl w:val="0"/>
          <w:numId w:val="1032"/>
        </w:numPr>
        <w:pStyle w:val="Compact"/>
      </w:pPr>
      <w:r>
        <w:t xml:space="preserve">Recycled Portion: 0.97 kg * 75% = 0.7275 kg</w:t>
      </w:r>
    </w:p>
    <w:p>
      <w:pPr>
        <w:numPr>
          <w:ilvl w:val="0"/>
          <w:numId w:val="1032"/>
        </w:numPr>
        <w:pStyle w:val="Compact"/>
      </w:pPr>
      <w:r>
        <w:t xml:space="preserve">Disposed Portion: 0.97 kg * 25% = 0.2425 kg</w:t>
      </w:r>
    </w:p>
    <w:p>
      <w:pPr>
        <w:numPr>
          <w:ilvl w:val="0"/>
          <w:numId w:val="1032"/>
        </w:numPr>
        <w:pStyle w:val="Compact"/>
      </w:pPr>
      <w:r>
        <w:t xml:space="preserve">Recycling Credit: 0.7275 kg * (-0.5 kg CO2e/kg) = -0.3638 kg CO2e (credit for avoided virgin material)</w:t>
      </w:r>
    </w:p>
    <w:p>
      <w:pPr>
        <w:numPr>
          <w:ilvl w:val="0"/>
          <w:numId w:val="1032"/>
        </w:numPr>
        <w:pStyle w:val="Compact"/>
      </w:pPr>
      <w:r>
        <w:t xml:space="preserve">Disposal Burden: 0.2425 kg * (1.0 kg CO2e/kg) = 0.2425 kg CO2e</w:t>
      </w:r>
    </w:p>
    <w:p>
      <w:pPr>
        <w:numPr>
          <w:ilvl w:val="0"/>
          <w:numId w:val="1032"/>
        </w:numPr>
        <w:pStyle w:val="Compact"/>
      </w:pPr>
      <w:r>
        <w:rPr>
          <w:bCs/>
          <w:b/>
        </w:rPr>
        <w:t xml:space="preserve">Net EoL Emissions:</w:t>
      </w:r>
      <w:r>
        <w:t xml:space="preserve"> </w:t>
      </w:r>
      <w:r>
        <w:t xml:space="preserve">-0.3638 + 0.2425 =</w:t>
      </w:r>
      <w:r>
        <w:t xml:space="preserve"> </w:t>
      </w:r>
      <w:r>
        <w:rPr>
          <w:bCs/>
          <w:b/>
        </w:rPr>
        <w:t xml:space="preserve">-0.121 kg CO2e</w:t>
      </w:r>
    </w:p>
    <w:bookmarkEnd w:id="61"/>
    <w:bookmarkEnd w:id="62"/>
    <w:bookmarkStart w:id="63" w:name="Xf368d70eca8bd35fbdba6ba2589a291a484c4f3"/>
    <w:p>
      <w:pPr>
        <w:pStyle w:val="Heading3"/>
      </w:pPr>
      <w:r>
        <w:t xml:space="preserve">Total Product Carbon Footprint (PCF) for one unit of inuoixktvm:</w:t>
      </w:r>
    </w:p>
    <w:p>
      <w:pPr>
        <w:pStyle w:val="FirstParagraph"/>
      </w:pPr>
      <w:r>
        <w:t xml:space="preserve">Summing up emissions from all stages:</w:t>
      </w:r>
    </w:p>
    <w:p>
      <w:pPr>
        <w:numPr>
          <w:ilvl w:val="0"/>
          <w:numId w:val="1033"/>
        </w:numPr>
        <w:pStyle w:val="Compact"/>
      </w:pPr>
      <w:r>
        <w:t xml:space="preserve">Material Acquisition: 6.441 kg CO2e</w:t>
      </w:r>
    </w:p>
    <w:p>
      <w:pPr>
        <w:numPr>
          <w:ilvl w:val="0"/>
          <w:numId w:val="1033"/>
        </w:numPr>
        <w:pStyle w:val="Compact"/>
      </w:pPr>
      <w:r>
        <w:t xml:space="preserve">Manufacturing: 1.986 kg CO2e</w:t>
      </w:r>
    </w:p>
    <w:p>
      <w:pPr>
        <w:numPr>
          <w:ilvl w:val="0"/>
          <w:numId w:val="1033"/>
        </w:numPr>
        <w:pStyle w:val="Compact"/>
      </w:pPr>
      <w:r>
        <w:t xml:space="preserve">Transportation &amp; Distribution: 0.145 kg CO2e</w:t>
      </w:r>
    </w:p>
    <w:p>
      <w:pPr>
        <w:numPr>
          <w:ilvl w:val="0"/>
          <w:numId w:val="1033"/>
        </w:numPr>
        <w:pStyle w:val="Compact"/>
      </w:pPr>
      <w:r>
        <w:t xml:space="preserve">Use Phase: 32.576 kg CO2e</w:t>
      </w:r>
    </w:p>
    <w:p>
      <w:pPr>
        <w:numPr>
          <w:ilvl w:val="0"/>
          <w:numId w:val="1033"/>
        </w:numPr>
        <w:pStyle w:val="Compact"/>
      </w:pPr>
      <w:r>
        <w:t xml:space="preserve">End-of-Life: -0.121 kg CO2e</w:t>
      </w:r>
    </w:p>
    <w:p>
      <w:pPr>
        <w:numPr>
          <w:ilvl w:val="0"/>
          <w:numId w:val="1033"/>
        </w:numPr>
        <w:pStyle w:val="Compact"/>
      </w:pPr>
      <w:r>
        <w:rPr>
          <w:bCs/>
          <w:b/>
        </w:rPr>
        <w:t xml:space="preserve">TOTAL PCF: 6.441 + 1.986 + 0.145 + 32.576 - 0.121 = 41.027 kg CO2e</w:t>
      </w:r>
    </w:p>
    <w:bookmarkEnd w:id="63"/>
    <w:bookmarkStart w:id="64" w:name="emissions-by-ghg-protocol-scope-1"/>
    <w:p>
      <w:pPr>
        <w:pStyle w:val="Heading3"/>
      </w:pPr>
      <w:r>
        <w:t xml:space="preserve">Emissions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Total CO2e (kg)</w:t>
            </w:r>
          </w:p>
        </w:tc>
      </w:tr>
      <w:tr>
        <w:tc>
          <w:tcPr/>
          <w:p>
            <w:pPr>
              <w:pStyle w:val="Compact"/>
              <w:jc w:val="left"/>
            </w:pPr>
            <w:r>
              <w:rPr>
                <w:bCs/>
                <w:b/>
              </w:rPr>
              <w:t xml:space="preserve">Scope 1</w:t>
            </w:r>
          </w:p>
        </w:tc>
        <w:tc>
          <w:tcPr/>
          <w:p>
            <w:pPr>
              <w:pStyle w:val="Compact"/>
              <w:jc w:val="left"/>
            </w:pPr>
            <w:r>
              <w:t xml:space="preserve">-</w:t>
            </w:r>
          </w:p>
        </w:tc>
        <w:tc>
          <w:tcPr/>
          <w:p>
            <w:pPr>
              <w:pStyle w:val="Compact"/>
              <w:jc w:val="left"/>
            </w:pPr>
            <w:r>
              <w:t xml:space="preserve">Direct Emissions (Not applicable as per factory_gate boundary for production)</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3</w:t>
            </w:r>
          </w:p>
        </w:tc>
        <w:tc>
          <w:tcPr/>
          <w:p>
            <w:pPr>
              <w:pStyle w:val="Compact"/>
              <w:jc w:val="left"/>
            </w:pPr>
            <w:r>
              <w:t xml:space="preserve">Purchased Electricity (Manufacturing)</w:t>
            </w:r>
          </w:p>
        </w:tc>
        <w:tc>
          <w:tcPr/>
          <w:p>
            <w:pPr>
              <w:pStyle w:val="Compact"/>
              <w:jc w:val="left"/>
            </w:pPr>
            <w:r>
              <w:t xml:space="preserve">1.986</w:t>
            </w:r>
          </w:p>
        </w:tc>
      </w:tr>
      <w:tr>
        <w:tc>
          <w:tcPr/>
          <w:p>
            <w:pPr>
              <w:pStyle w:val="Compact"/>
              <w:jc w:val="left"/>
            </w:pPr>
            <w:r>
              <w:rPr>
                <w:bCs/>
                <w:b/>
              </w:rPr>
              <w:t xml:space="preserve">Scope 3</w:t>
            </w:r>
          </w:p>
        </w:tc>
        <w:tc>
          <w:tcPr/>
          <w:p>
            <w:pPr>
              <w:pStyle w:val="Compact"/>
              <w:jc w:val="left"/>
            </w:pPr>
            <w:r>
              <w:t xml:space="preserve">1</w:t>
            </w:r>
          </w:p>
        </w:tc>
        <w:tc>
          <w:tcPr/>
          <w:p>
            <w:pPr>
              <w:pStyle w:val="Compact"/>
              <w:jc w:val="left"/>
            </w:pPr>
            <w:r>
              <w:t xml:space="preserve">Purchased Goods &amp; Services (Materials)</w:t>
            </w:r>
          </w:p>
        </w:tc>
        <w:tc>
          <w:tcPr/>
          <w:p>
            <w:pPr>
              <w:pStyle w:val="Compact"/>
              <w:jc w:val="left"/>
            </w:pPr>
            <w:r>
              <w:t xml:space="preserve">6.441</w:t>
            </w:r>
          </w:p>
        </w:tc>
      </w:tr>
      <w:tr>
        <w:tc>
          <w:tcPr/>
          <w:p>
            <w:pPr>
              <w:pStyle w:val="Compact"/>
            </w:pPr>
          </w:p>
        </w:tc>
        <w:tc>
          <w:tcPr/>
          <w:p>
            <w:pPr>
              <w:pStyle w:val="Compact"/>
              <w:jc w:val="left"/>
            </w:pPr>
            <w:r>
              <w:t xml:space="preserve">4</w:t>
            </w:r>
          </w:p>
        </w:tc>
        <w:tc>
          <w:tcPr/>
          <w:p>
            <w:pPr>
              <w:pStyle w:val="Compact"/>
              <w:jc w:val="left"/>
            </w:pPr>
            <w:r>
              <w:t xml:space="preserve">Upstream Transportation &amp; Distribution</w:t>
            </w:r>
          </w:p>
        </w:tc>
        <w:tc>
          <w:tcPr/>
          <w:p>
            <w:pPr>
              <w:pStyle w:val="Compact"/>
              <w:jc w:val="left"/>
            </w:pPr>
            <w:r>
              <w:t xml:space="preserve">0.135</w:t>
            </w:r>
          </w:p>
        </w:tc>
      </w:tr>
      <w:tr>
        <w:tc>
          <w:tcPr/>
          <w:p>
            <w:pPr>
              <w:pStyle w:val="Compact"/>
            </w:pPr>
          </w:p>
        </w:tc>
        <w:tc>
          <w:tcPr/>
          <w:p>
            <w:pPr>
              <w:pStyle w:val="Compact"/>
              <w:jc w:val="left"/>
            </w:pPr>
            <w:r>
              <w:t xml:space="preserve">9</w:t>
            </w:r>
          </w:p>
        </w:tc>
        <w:tc>
          <w:tcPr/>
          <w:p>
            <w:pPr>
              <w:pStyle w:val="Compact"/>
              <w:jc w:val="left"/>
            </w:pPr>
            <w:r>
              <w:t xml:space="preserve">Downstream Transportation &amp; Distribution (Last-Mile)</w:t>
            </w:r>
          </w:p>
        </w:tc>
        <w:tc>
          <w:tcPr/>
          <w:p>
            <w:pPr>
              <w:pStyle w:val="Compact"/>
              <w:jc w:val="left"/>
            </w:pPr>
            <w:r>
              <w:t xml:space="preserve">0.010</w:t>
            </w:r>
          </w:p>
        </w:tc>
      </w:tr>
      <w:tr>
        <w:tc>
          <w:tcPr/>
          <w:p>
            <w:pPr>
              <w:pStyle w:val="Compact"/>
            </w:pPr>
          </w:p>
        </w:tc>
        <w:tc>
          <w:tcPr/>
          <w:p>
            <w:pPr>
              <w:pStyle w:val="Compact"/>
              <w:jc w:val="left"/>
            </w:pPr>
            <w:r>
              <w:t xml:space="preserve">11</w:t>
            </w:r>
          </w:p>
        </w:tc>
        <w:tc>
          <w:tcPr/>
          <w:p>
            <w:pPr>
              <w:pStyle w:val="Compact"/>
              <w:jc w:val="left"/>
            </w:pPr>
            <w:r>
              <w:t xml:space="preserve">Use of Sold Products</w:t>
            </w:r>
          </w:p>
        </w:tc>
        <w:tc>
          <w:tcPr/>
          <w:p>
            <w:pPr>
              <w:pStyle w:val="Compact"/>
              <w:jc w:val="left"/>
            </w:pPr>
            <w:r>
              <w:t xml:space="preserve">32.576</w:t>
            </w:r>
          </w:p>
        </w:tc>
      </w:tr>
      <w:tr>
        <w:tc>
          <w:tcPr/>
          <w:p>
            <w:pPr>
              <w:pStyle w:val="Compact"/>
            </w:pPr>
          </w:p>
        </w:tc>
        <w:tc>
          <w:tcPr/>
          <w:p>
            <w:pPr>
              <w:pStyle w:val="Compact"/>
              <w:jc w:val="left"/>
            </w:pPr>
            <w:r>
              <w:t xml:space="preserve">12</w:t>
            </w:r>
          </w:p>
        </w:tc>
        <w:tc>
          <w:tcPr/>
          <w:p>
            <w:pPr>
              <w:pStyle w:val="Compact"/>
              <w:jc w:val="left"/>
            </w:pPr>
            <w:r>
              <w:t xml:space="preserve">End-of-Life Treatment of Sold Products</w:t>
            </w:r>
          </w:p>
        </w:tc>
        <w:tc>
          <w:tcPr/>
          <w:p>
            <w:pPr>
              <w:pStyle w:val="Compact"/>
              <w:jc w:val="left"/>
            </w:pPr>
            <w:r>
              <w:t xml:space="preserve">-0.121</w:t>
            </w:r>
          </w:p>
        </w:tc>
      </w:tr>
      <w:tr>
        <w:tc>
          <w:tcPr/>
          <w:p>
            <w:pPr>
              <w:pStyle w:val="Compact"/>
              <w:jc w:val="left"/>
            </w:pPr>
            <w:r>
              <w:rPr>
                <w:bCs/>
                <w:b/>
              </w:rPr>
              <w:t xml:space="preserve">Total Scope 3 Emissions</w:t>
            </w:r>
          </w:p>
        </w:tc>
        <w:tc>
          <w:tcPr/>
          <w:p>
            <w:pPr>
              <w:pStyle w:val="Compact"/>
            </w:pPr>
          </w:p>
        </w:tc>
        <w:tc>
          <w:tcPr/>
          <w:p>
            <w:pPr>
              <w:pStyle w:val="Compact"/>
            </w:pPr>
          </w:p>
        </w:tc>
        <w:tc>
          <w:tcPr/>
          <w:p>
            <w:pPr>
              <w:pStyle w:val="Compact"/>
              <w:jc w:val="left"/>
            </w:pPr>
            <w:r>
              <w:rPr>
                <w:bCs/>
                <w:b/>
              </w:rPr>
              <w:t xml:space="preserve">39.041</w:t>
            </w:r>
          </w:p>
        </w:tc>
      </w:tr>
      <w:tr>
        <w:tc>
          <w:tcPr/>
          <w:p>
            <w:pPr>
              <w:pStyle w:val="Compact"/>
              <w:jc w:val="left"/>
            </w:pPr>
            <w:r>
              <w:rPr>
                <w:bCs/>
                <w:b/>
              </w:rPr>
              <w:t xml:space="preserve">Grand Total PCF</w:t>
            </w:r>
          </w:p>
        </w:tc>
        <w:tc>
          <w:tcPr/>
          <w:p>
            <w:pPr>
              <w:pStyle w:val="Compact"/>
            </w:pPr>
          </w:p>
        </w:tc>
        <w:tc>
          <w:tcPr/>
          <w:p>
            <w:pPr>
              <w:pStyle w:val="Compact"/>
            </w:pPr>
          </w:p>
        </w:tc>
        <w:tc>
          <w:tcPr/>
          <w:p>
            <w:pPr>
              <w:pStyle w:val="Compact"/>
              <w:jc w:val="left"/>
            </w:pPr>
            <w:r>
              <w:rPr>
                <w:bCs/>
                <w:b/>
              </w:rPr>
              <w:t xml:space="preserve">41.027</w:t>
            </w:r>
          </w:p>
        </w:tc>
      </w:tr>
    </w:tbl>
    <w:p>
      <w:pPr>
        <w:pStyle w:val="BodyText"/>
      </w:pPr>
      <w:r>
        <w:t xml:space="preserve">The calculated Scope 3 emissions (39.041 kg CO2e) represent approximately 95.16% of the total PCF (41.027 kg CO2e), ensuring compliance with the 2026 GHG Protocol\'s 95% coverage requirement.</w:t>
      </w:r>
    </w:p>
    <w:bookmarkEnd w:id="64"/>
    <w:bookmarkEnd w:id="65"/>
    <w:p>
      <w:r>
        <w:pict>
          <v:rect style="width:0;height:1.5pt" o:hralign="center" o:hrstd="t" o:hr="t"/>
        </w:pict>
      </w:r>
    </w:p>
    <w:bookmarkStart w:id="69" w:name="review-report-1"/>
    <w:p>
      <w:pPr>
        <w:pStyle w:val="Heading2"/>
      </w:pPr>
      <w:r>
        <w:t xml:space="preserve">5. Review &amp; Report</w:t>
      </w:r>
    </w:p>
    <w:p>
      <w:pPr>
        <w:pStyle w:val="FirstParagraph"/>
      </w:pPr>
      <w:r>
        <w:t xml:space="preserve">This section summarizes the findings, identifies emission hotspots, and discusses the reliability of the analysis.</w:t>
      </w:r>
    </w:p>
    <w:bookmarkStart w:id="66" w:name="emission-hotspots-1"/>
    <w:p>
      <w:pPr>
        <w:pStyle w:val="Heading3"/>
      </w:pPr>
      <w:r>
        <w:t xml:space="preserve">Emission Hotspots:</w:t>
      </w:r>
    </w:p>
    <w:p>
      <w:pPr>
        <w:pStyle w:val="FirstParagraph"/>
      </w:pPr>
      <w:r>
        <w:t xml:space="preserve">The analysis reveals the following major contributors to the product\'s carbon footprint:</w:t>
      </w:r>
    </w:p>
    <w:p>
      <w:pPr>
        <w:numPr>
          <w:ilvl w:val="0"/>
          <w:numId w:val="1034"/>
        </w:numPr>
        <w:pStyle w:val="Compact"/>
      </w:pPr>
      <w:r>
        <w:rPr>
          <w:bCs/>
          <w:b/>
        </w:rPr>
        <w:t xml:space="preserve">Use Phase (32.576 kg CO2e, ~79.4% of total):</w:t>
      </w:r>
      <w:r>
        <w:t xml:space="preserve"> </w:t>
      </w:r>
      <w:r>
        <w:t xml:space="preserve">The energy consumption during the product\'s 7-year lifespan is by far the largest hotspot. Even with Europe\'s relatively cleaner grid mix, the cumulative energy demand significantly impacts the PCF. This highlights the importance of energy efficiency in product design and promoting renewable energy sources for end-users.</w:t>
      </w:r>
    </w:p>
    <w:p>
      <w:pPr>
        <w:numPr>
          <w:ilvl w:val="0"/>
          <w:numId w:val="1034"/>
        </w:numPr>
        <w:pStyle w:val="Compact"/>
      </w:pPr>
      <w:r>
        <w:rPr>
          <w:bCs/>
          <w:b/>
        </w:rPr>
        <w:t xml:space="preserve">Material Acquisition &amp; Processing (6.441 kg CO2e, ~15.7% of total):</w:t>
      </w:r>
      <w:r>
        <w:t xml:space="preserve"> </w:t>
      </w:r>
      <w:r>
        <w:t xml:space="preserve">Upstream emissions from raw materials, particularly Aluminum, PCB, and the Lithium-ion battery, are significant. Sourcing lower-carbon materials, increasing recycled content, and engaging with suppliers on their decarbonization efforts are critical.</w:t>
      </w:r>
    </w:p>
    <w:p>
      <w:pPr>
        <w:numPr>
          <w:ilvl w:val="0"/>
          <w:numId w:val="1034"/>
        </w:numPr>
        <w:pStyle w:val="Compact"/>
      </w:pPr>
      <w:r>
        <w:rPr>
          <w:bCs/>
          <w:b/>
        </w:rPr>
        <w:t xml:space="preserve">Manufacturing (1.986 kg CO2e, ~4.8% of total):</w:t>
      </w:r>
      <w:r>
        <w:t xml:space="preserve"> </w:t>
      </w:r>
      <w:r>
        <w:t xml:space="preserve">While the company utilizes 60% renewable energy, the remaining grid electricity in China still contributes to emissions. Further increasing renewable energy penetration or improving manufacturing efficiency can reduce this impact.</w:t>
      </w:r>
    </w:p>
    <w:bookmarkEnd w:id="66"/>
    <w:bookmarkStart w:id="67" w:name="reliability-and-limitations-1"/>
    <w:p>
      <w:pPr>
        <w:pStyle w:val="Heading3"/>
      </w:pPr>
      <w:r>
        <w:t xml:space="preserve">Reliability and Limitations:</w:t>
      </w:r>
    </w:p>
    <w:p>
      <w:pPr>
        <w:numPr>
          <w:ilvl w:val="0"/>
          <w:numId w:val="1035"/>
        </w:numPr>
        <w:pStyle w:val="Compact"/>
      </w:pPr>
      <w:r>
        <w:rPr>
          <w:bCs/>
          <w:b/>
        </w:rPr>
        <w:t xml:space="preserve">Data Quality:</w:t>
      </w:r>
      <w:r>
        <w:t xml:space="preserve"> </w:t>
      </w:r>
      <w:r>
        <w:t xml:space="preserve">This report utilizes a blend of primary data (provided parameters) and secondary, industry-average emission factors from reputable sources. While specific BOM data was provided, some detailed process-specific emission factors for complex components like PCBs were based on general estimates due to data availability.</w:t>
      </w:r>
    </w:p>
    <w:p>
      <w:pPr>
        <w:numPr>
          <w:ilvl w:val="0"/>
          <w:numId w:val="1035"/>
        </w:numPr>
        <w:pStyle w:val="Compact"/>
      </w:pPr>
      <w:r>
        <w:rPr>
          <w:bCs/>
          <w:b/>
        </w:rPr>
        <w:t xml:space="preserve">Assumptions:</w:t>
      </w:r>
      <w:r>
        <w:t xml:space="preserve"> </w:t>
      </w:r>
      <w:r>
        <w:t xml:space="preserve">Assumptions were made regarding transport modes, distances, and end-of-life scenarios where placeholders were given. These assumptions are based on typical industry practices and geographical considerations.</w:t>
      </w:r>
    </w:p>
    <w:p>
      <w:pPr>
        <w:numPr>
          <w:ilvl w:val="0"/>
          <w:numId w:val="1035"/>
        </w:numPr>
        <w:pStyle w:val="Compact"/>
      </w:pPr>
      <w:r>
        <w:rPr>
          <w:bCs/>
          <w:b/>
        </w:rPr>
        <w:t xml:space="preserve">GHG Protocol Alignment:</w:t>
      </w:r>
      <w:r>
        <w:t xml:space="preserve"> </w:t>
      </w:r>
      <w:r>
        <w:t xml:space="preserve">The methodology rigorously follows the GHG Protocol Product Standard, ensuring transparency and adherence to international best practices. The integration of 2026 LSR considerations and the 95% Scope 3 coverage rule enhance the robustness of the assessment.</w:t>
      </w:r>
    </w:p>
    <w:bookmarkEnd w:id="67"/>
    <w:bookmarkStart w:id="68" w:name="recommendations-for-decarbonization-1"/>
    <w:p>
      <w:pPr>
        <w:pStyle w:val="Heading3"/>
      </w:pPr>
      <w:r>
        <w:t xml:space="preserve">Recommendations for Decarbonization:</w:t>
      </w:r>
    </w:p>
    <w:p>
      <w:pPr>
        <w:numPr>
          <w:ilvl w:val="0"/>
          <w:numId w:val="1036"/>
        </w:numPr>
        <w:pStyle w:val="Compact"/>
      </w:pPr>
      <w:r>
        <w:rPr>
          <w:bCs/>
          <w:b/>
        </w:rPr>
        <w:t xml:space="preserve">Enhance Use Phase Efficiency:</w:t>
      </w:r>
      <w:r>
        <w:t xml:space="preserve"> </w:t>
      </w:r>
      <w:r>
        <w:t xml:space="preserve">Focus on product design for maximum energy efficiency during the 7-year lifespan. Explore smart features, lower power modes, and user guidance to minimize energy consumption.</w:t>
      </w:r>
    </w:p>
    <w:p>
      <w:pPr>
        <w:numPr>
          <w:ilvl w:val="0"/>
          <w:numId w:val="1036"/>
        </w:numPr>
        <w:pStyle w:val="Compact"/>
      </w:pPr>
      <w:r>
        <w:rPr>
          <w:bCs/>
          <w:b/>
        </w:rPr>
        <w:t xml:space="preserve">Sustainable Material Sourcing:</w:t>
      </w:r>
      <w:r>
        <w:t xml:space="preserve"> </w:t>
      </w:r>
      <w:r>
        <w:t xml:space="preserve">Investigate opportunities to procure lower-carbon aluminum (e.g., from smelters using hydropower), plastics with higher recycled content, and more efficiently produced electronic components. Engage with supply chain partners to obtain primary emission data for critical materials.</w:t>
      </w:r>
    </w:p>
    <w:p>
      <w:pPr>
        <w:numPr>
          <w:ilvl w:val="0"/>
          <w:numId w:val="1036"/>
        </w:numPr>
        <w:pStyle w:val="Compact"/>
      </w:pPr>
      <w:r>
        <w:rPr>
          <w:bCs/>
          <w:b/>
        </w:rPr>
        <w:t xml:space="preserve">Renewable Energy Expansion:</w:t>
      </w:r>
      <w:r>
        <w:t xml:space="preserve"> </w:t>
      </w:r>
      <w:r>
        <w:t xml:space="preserve">Continue to increase the share of renewable energy in manufacturing operations in China, potentially through on-site generation or Power Purchase Agreements (PPAs) with renewable energy providers.</w:t>
      </w:r>
    </w:p>
    <w:p>
      <w:pPr>
        <w:numPr>
          <w:ilvl w:val="0"/>
          <w:numId w:val="1036"/>
        </w:numPr>
        <w:pStyle w:val="Compact"/>
      </w:pPr>
      <w:r>
        <w:rPr>
          <w:bCs/>
          <w:b/>
        </w:rPr>
        <w:t xml:space="preserve">Circular Economy Initiatives:</w:t>
      </w:r>
      <w:r>
        <w:t xml:space="preserve"> </w:t>
      </w:r>
      <w:r>
        <w:t xml:space="preserve">Strengthen the existing take-back and recycling programs (nionjlhmdk) and explore design-for-disassembly to maximize the recovery of valuable materials and minimize end-of-life burdens.</w:t>
      </w:r>
    </w:p>
    <w:bookmarkEnd w:id="68"/>
    <w:bookmarkEnd w:id="69"/>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inuoixktvm</dc:title>
  <dc:creator/>
  <dc:description>Detailed Product Carbon Footprint (PCF) analysis for inuoixktvm, following GHG Protocol standards and 2026 updates, conducted by kjxsikpeqq for dpyvjdoxuy.</dc:description>
  <dc:language>en</dc:language>
  <cp:keywords/>
  <dcterms:created xsi:type="dcterms:W3CDTF">2026-05-30T16:48:10Z</dcterms:created>
  <dcterms:modified xsi:type="dcterms:W3CDTF">2026-05-30T16:48:10Z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