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imyqspyjql</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imyqspyjql</w:t>
      </w:r>
    </w:p>
    <w:p>
      <w:pPr>
        <w:pStyle w:val="BodyText"/>
      </w:pPr>
      <w:r>
        <w:rPr>
          <w:bCs/>
          <w:b/>
        </w:rPr>
        <w:t xml:space="preserve">Company:</w:t>
      </w:r>
      <w:r>
        <w:t xml:space="preserve"> </w:t>
      </w:r>
      <w:r>
        <w:t xml:space="preserve">rvspitsymg</w:t>
      </w:r>
    </w:p>
    <w:p>
      <w:pPr>
        <w:pStyle w:val="BodyText"/>
      </w:pPr>
      <w:r>
        <w:rPr>
          <w:bCs/>
          <w:b/>
        </w:rPr>
        <w:t xml:space="preserve">Senior Sustainability Consultant:</w:t>
      </w:r>
      <w:r>
        <w:t xml:space="preserve"> </w:t>
      </w:r>
      <w:r>
        <w:t xml:space="preserve">omppxymiqn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are made for accuracy, results are indicative and subject to data limitations.</w:t>
      </w:r>
    </w:p>
    <w:bookmarkEnd w:id="20"/>
    <w:bookmarkStart w:id="21" w:name="X57c962af727c2c7a0a7cc1a4e1639b7536feb96"/>
    <w:p>
      <w:pPr>
        <w:pStyle w:val="Heading1"/>
      </w:pPr>
      <w:r>
        <w:t xml:space="preserve">Product Carbon Footprint Analysis Report: imyqspyjql</w:t>
      </w:r>
    </w:p>
    <w:p>
      <w:pPr>
        <w:pStyle w:val="FirstParagraph"/>
      </w:pPr>
      <w:r>
        <w:rPr>
          <w:bCs/>
          <w:b/>
        </w:rPr>
        <w:t xml:space="preserve">Generated Date:</w:t>
      </w:r>
      <w:r>
        <w:t xml:space="preserve"> </w:t>
      </w:r>
      <w:r>
        <w:t xml:space="preserve">June 3, 2026</w:t>
      </w:r>
    </w:p>
    <w:p>
      <w:pPr>
        <w:pStyle w:val="BodyText"/>
      </w:pPr>
      <w:r>
        <w:rPr>
          <w:bCs/>
          <w:b/>
        </w:rPr>
        <w:t xml:space="preserve">Prepared for:</w:t>
      </w:r>
      <w:r>
        <w:t xml:space="preserve"> </w:t>
      </w:r>
      <w:r>
        <w:t xml:space="preserve">rvspitsymg</w:t>
      </w:r>
    </w:p>
    <w:p>
      <w:pPr>
        <w:pStyle w:val="BodyText"/>
      </w:pPr>
      <w:r>
        <w:rPr>
          <w:bCs/>
          <w:b/>
        </w:rPr>
        <w:t xml:space="preserve">Prepared by:</w:t>
      </w:r>
      <w:r>
        <w:t xml:space="preserve"> </w:t>
      </w:r>
      <w:r>
        <w:t xml:space="preserve">omppxymiqn,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imyqspyjql</w:t>
      </w:r>
      <w:r>
        <w:t xml:space="preserve">, manufactured by</w:t>
      </w:r>
      <w:r>
        <w:t xml:space="preserve"> </w:t>
      </w:r>
      <w:r>
        <w:rPr>
          <w:bCs/>
          <w:b/>
        </w:rPr>
        <w:t xml:space="preserve">rvspitsymg</w:t>
      </w:r>
      <w:r>
        <w:t xml:space="preserve">. The analysis, conducted by Senior Sustainability Consultant</w:t>
      </w:r>
      <w:r>
        <w:t xml:space="preserve"> </w:t>
      </w:r>
      <w:r>
        <w:rPr>
          <w:bCs/>
          <w:b/>
        </w:rPr>
        <w:t xml:space="preserve">omppxymiqn</w:t>
      </w:r>
      <w:r>
        <w:t xml:space="preserve">, adheres to the Greenhouse Gas (GHG) Protocol standards, including the 2026 Land Sector and Removals (LSR) update and the stringent 95% Scope 3 coverage requirement. The study defines the system boundary as \'factory_gate\' for the initial assessment, with a geographic scope focusing on final production in China and a supply chain concentrated in Europe. Key insights reveal the primary emission hotspots across the product\'s lifecycle, providing actionable recommendations for emission reduction and enhanced sustainability performance.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imyqspyjql follows a structured approach in alignment with the GHG Protocol Product Standard, employing a \'cradle-to-grave\' perspective where applicable within the specified system boundary.</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imyqspyjql.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primary system boundary for the initial assessment is set at</w:t>
      </w:r>
      <w:r>
        <w:t xml:space="preserve"> </w:t>
      </w:r>
      <w:r>
        <w:rPr>
          <w:bCs/>
          <w:b/>
        </w:rPr>
        <w:t xml:space="preserve">factory_gate</w:t>
      </w:r>
      <w:r>
        <w:t xml:space="preserve">, encompassing raw material extraction, pre-processing, manufacturing, and transport to the factory gate. However, for a holistic \'cradle-to-grave\' PCF, the analysis extends to include outbound logistics, use 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regional electricity mixes, transport routes, and end-of-life infrastructure considered.</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distance traveled. Where co-products or by-products exist, allocation is performed using established GHG Protocol principles, primarily mass-based for simplicity given the product focus.</w:t>
      </w:r>
    </w:p>
    <w:p>
      <w:pPr>
        <w:numPr>
          <w:ilvl w:val="0"/>
          <w:numId w:val="1001"/>
        </w:numPr>
        <w:pStyle w:val="Compact"/>
      </w:pPr>
      <w:r>
        <w:rPr>
          <w:bCs/>
          <w:b/>
        </w:rPr>
        <w:t xml:space="preserve">Accounting Standard:</w:t>
      </w:r>
      <w:r>
        <w:t xml:space="preserve"> </w:t>
      </w:r>
      <w:r>
        <w:t xml:space="preserve">All calculations and reporting strictly adhere to the</w:t>
      </w:r>
      <w:r>
        <w:t xml:space="preserve"> </w:t>
      </w:r>
      <w:r>
        <w:rPr>
          <w:bCs/>
          <w:b/>
        </w:rPr>
        <w:t xml:space="preserve">GHG Protocol</w:t>
      </w:r>
      <w:r>
        <w:t xml:space="preserve">. This includes categorizing emissions into Scope 1 (direct emissions from owned or controlled sources), Scope 2 (indirect emissions from purchased electricity, heat, or steam),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effective January 1, 2027, has been applied where relevant. This standard provides accounting requirements for land management, land use change, CO₂ removals, and biogenic products. For this PCF, land use changes associated with raw material extraction (Scope 3) are considered.</w:t>
      </w:r>
    </w:p>
    <w:p>
      <w:pPr>
        <w:numPr>
          <w:ilvl w:val="0"/>
          <w:numId w:val="1001"/>
        </w:numPr>
        <w:pStyle w:val="Compact"/>
      </w:pPr>
      <w:r>
        <w:rPr>
          <w:bCs/>
          <w:b/>
        </w:rPr>
        <w:t xml:space="preserve">Scope 3 Compliance:</w:t>
      </w:r>
      <w:r>
        <w:t xml:space="preserve"> </w:t>
      </w:r>
      <w:r>
        <w:t xml:space="preserve">As per 2026 requirements, this report ensures at least 95% coverage for Scope 3 reporting. This means all major indirect emission sources across the value chain are quantified and included.</w:t>
      </w:r>
    </w:p>
    <w:bookmarkEnd w:id="23"/>
    <w:bookmarkStart w:id="24" w:name="map-lifecycle-lci-inventory-stages"/>
    <w:p>
      <w:pPr>
        <w:pStyle w:val="Heading3"/>
      </w:pPr>
      <w:r>
        <w:t xml:space="preserve">1.2. Map Lifecycle (LCI Inventory Stages)</w:t>
      </w:r>
    </w:p>
    <w:p>
      <w:pPr>
        <w:pStyle w:val="FirstParagraph"/>
      </w:pPr>
      <w:r>
        <w:t xml:space="preserve">The lifecycle of imyqspyjql is mapped into the following stages for a comprehensive \'cradle-to-grave\' analysis:</w:t>
      </w:r>
    </w:p>
    <w:p>
      <w:pPr>
        <w:numPr>
          <w:ilvl w:val="0"/>
          <w:numId w:val="1002"/>
        </w:numPr>
        <w:pStyle w:val="Compact"/>
      </w:pPr>
      <w:r>
        <w:rPr>
          <w:bCs/>
          <w:b/>
        </w:rPr>
        <w:t xml:space="preserve">Materials Acquisition &amp; Pre-processing (Upstream):</w:t>
      </w:r>
      <w:r>
        <w:t xml:space="preserve"> </w:t>
      </w:r>
      <w:r>
        <w:t xml:space="preserve">Extraction and production of raw materials, and their transport to manufacturing facilities.</w:t>
      </w:r>
    </w:p>
    <w:p>
      <w:pPr>
        <w:numPr>
          <w:ilvl w:val="0"/>
          <w:numId w:val="1002"/>
        </w:numPr>
        <w:pStyle w:val="Compact"/>
      </w:pPr>
      <w:r>
        <w:rPr>
          <w:bCs/>
          <w:b/>
        </w:rPr>
        <w:t xml:space="preserve">Manufacturing:</w:t>
      </w:r>
      <w:r>
        <w:t xml:space="preserve"> </w:t>
      </w:r>
      <w:r>
        <w:t xml:space="preserve">Energy consumption and direct emissions from the assembly and production processes within the factory.</w:t>
      </w:r>
    </w:p>
    <w:p>
      <w:pPr>
        <w:numPr>
          <w:ilvl w:val="0"/>
          <w:numId w:val="1002"/>
        </w:numPr>
        <w:pStyle w:val="Compact"/>
      </w:pPr>
      <w:r>
        <w:rPr>
          <w:bCs/>
          <w:b/>
        </w:rPr>
        <w:t xml:space="preserve">Transportation &amp; Distribution:</w:t>
      </w:r>
      <w:r>
        <w:t xml:space="preserve"> </w:t>
      </w:r>
      <w:r>
        <w:t xml:space="preserve">Inbound logistics of components and outbound logistics of the finished product to the customer, including last-mile delivery.</w:t>
      </w:r>
    </w:p>
    <w:p>
      <w:pPr>
        <w:numPr>
          <w:ilvl w:val="0"/>
          <w:numId w:val="1002"/>
        </w:numPr>
        <w:pStyle w:val="Compact"/>
      </w:pPr>
      <w:r>
        <w:rPr>
          <w:bCs/>
          <w:b/>
        </w:rPr>
        <w:t xml:space="preserve">Use Phase:</w:t>
      </w:r>
      <w:r>
        <w:t xml:space="preserve"> </w:t>
      </w:r>
      <w:r>
        <w:t xml:space="preserve">Energy consumption during the product\'s active lifespan.</w:t>
      </w:r>
    </w:p>
    <w:p>
      <w:pPr>
        <w:numPr>
          <w:ilvl w:val="0"/>
          <w:numId w:val="1002"/>
        </w:numPr>
        <w:pStyle w:val="Compact"/>
      </w:pPr>
      <w:r>
        <w:rPr>
          <w:bCs/>
          <w:b/>
        </w:rPr>
        <w:t xml:space="preserve">End-of-Life:</w:t>
      </w:r>
      <w:r>
        <w:t xml:space="preserve"> </w:t>
      </w:r>
      <w:r>
        <w:t xml:space="preserve">Disposal, recycling, or recovery processes for the product and its packaging.</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involved utilizing specific parameters provided by rvspitsymg and supplementing with high-quality secondary data from industry-standard databases.</w:t>
      </w:r>
    </w:p>
    <w:p>
      <w:pPr>
        <w:numPr>
          <w:ilvl w:val="0"/>
          <w:numId w:val="1003"/>
        </w:numPr>
        <w:pStyle w:val="Compact"/>
      </w:pPr>
      <w:r>
        <w:rPr>
          <w:bCs/>
          <w:b/>
        </w:rPr>
        <w:t xml:space="preserve">Primary Data:</w:t>
      </w:r>
      <w:r>
        <w:t xml:space="preserve"> </w:t>
      </w:r>
      <w:r>
        <w:t xml:space="preserve">Detailed Bill of Materials (BOM), Renewable Energy Usage, Energy Intensity (kWh/unit), Product Lifespan, Energy Consumption in Use, Recyclability Percentage, and Circular/Take-back Program details.</w:t>
      </w:r>
    </w:p>
    <w:p>
      <w:pPr>
        <w:numPr>
          <w:ilvl w:val="0"/>
          <w:numId w:val="1003"/>
        </w:numPr>
        <w:pStyle w:val="Compact"/>
      </w:pPr>
      <w:r>
        <w:rPr>
          <w:bCs/>
          <w:b/>
        </w:rPr>
        <w:t xml:space="preserve">Secondary Data:</w:t>
      </w:r>
      <w:r>
        <w:t xml:space="preserve"> </w:t>
      </w:r>
      <w:r>
        <w:t xml:space="preserve">Industry-standard emission factors were primarily sourced from Ecoinvent and DEFRA databases for materials, energy mixes (electricity), and transport modes. Where specific data was unavailable, representative proxy data was used, clearly noted in the calculations.</w:t>
      </w:r>
    </w:p>
    <w:bookmarkEnd w:id="25"/>
    <w:bookmarkStart w:id="26" w:name="Xb404f6bea4a0013006ec7a9103609d9ea6643c1"/>
    <w:p>
      <w:pPr>
        <w:pStyle w:val="Heading3"/>
      </w:pPr>
      <w:r>
        <w:t xml:space="preserve">1.4. Calculate Emissions (Activity * Emission Factor = CO2e)</w:t>
      </w:r>
    </w:p>
    <w:p>
      <w:pPr>
        <w:pStyle w:val="FirstParagraph"/>
      </w:pPr>
      <w:r>
        <w:t xml:space="preserve">Emissions for each lifecycle stage are calculated by multiplying the activity data (e.g., kg of material, kWh of energy, tonne-km of transport) by the relevant emission factor (e.g., kg CO2e/kg, kg CO2e/kWh, kg CO2e/tonne-km). The results are aggregated and categorized by GHG Scope.</w:t>
      </w:r>
    </w:p>
    <w:bookmarkEnd w:id="26"/>
    <w:bookmarkStart w:id="27" w:name="review-report-hotspots-and-reliability"/>
    <w:p>
      <w:pPr>
        <w:pStyle w:val="Heading3"/>
      </w:pPr>
      <w:r>
        <w:t xml:space="preserve">1.5. Review &amp; Report (Hotspots and Reliability)</w:t>
      </w:r>
    </w:p>
    <w:p>
      <w:pPr>
        <w:pStyle w:val="FirstParagraph"/>
      </w:pPr>
      <w:r>
        <w:t xml:space="preserve">The final stage involves reviewing the calculated emissions to identify hotspots, assess data reliability, and formulate strategic recommendations for reducing the product\'s carbon footprint. The results are presented in a transparent and structured manner.</w:t>
      </w:r>
    </w:p>
    <w:p>
      <w:r>
        <w:pict>
          <v:rect style="width:0;height:1.5pt" o:hralign="center" o:hrstd="t" o:hr="t"/>
        </w:pict>
      </w:r>
    </w:p>
    <w:bookmarkEnd w:id="27"/>
    <w:bookmarkEnd w:id="28"/>
    <w:bookmarkStart w:id="34" w:name="Xf396686cccddc2ce0e505232b0908cb8f06c9a4"/>
    <w:p>
      <w:pPr>
        <w:pStyle w:val="Heading2"/>
      </w:pPr>
      <w:r>
        <w:t xml:space="preserve">2. Detailed PCF Parameters and Assumptions for imyqspyjql</w:t>
      </w:r>
    </w:p>
    <w:p>
      <w:pPr>
        <w:pStyle w:val="FirstParagraph"/>
      </w:pPr>
      <w:r>
        <w:t xml:space="preserve">The following specific parameters and assumptions, based on the provided inputs and industry averages where placeholders were given, were used for the analysis of product</w:t>
      </w:r>
      <w:r>
        <w:t xml:space="preserve"> </w:t>
      </w:r>
      <w:r>
        <w:rPr>
          <w:bCs/>
          <w:b/>
        </w:rPr>
        <w:t xml:space="preserve">imyqspyjql</w:t>
      </w:r>
      <w:r>
        <w:t xml:space="preserve">.</w:t>
      </w:r>
    </w:p>
    <w:p>
      <w:pPr>
        <w:numPr>
          <w:ilvl w:val="0"/>
          <w:numId w:val="1004"/>
        </w:numPr>
        <w:pStyle w:val="Compact"/>
      </w:pPr>
      <w:r>
        <w:rPr>
          <w:bCs/>
          <w:b/>
        </w:rPr>
        <w:t xml:space="preserve">Company Name:</w:t>
      </w:r>
      <w:r>
        <w:t xml:space="preserve"> </w:t>
      </w:r>
      <w:r>
        <w:t xml:space="preserve">rvspitsymg</w:t>
      </w:r>
    </w:p>
    <w:p>
      <w:pPr>
        <w:numPr>
          <w:ilvl w:val="0"/>
          <w:numId w:val="1004"/>
        </w:numPr>
        <w:pStyle w:val="Compact"/>
      </w:pPr>
      <w:r>
        <w:rPr>
          <w:bCs/>
          <w:b/>
        </w:rPr>
        <w:t xml:space="preserve">Product Name:</w:t>
      </w:r>
      <w:r>
        <w:t xml:space="preserve"> </w:t>
      </w:r>
      <w:r>
        <w:t xml:space="preserve">imyqspyjql</w:t>
      </w:r>
    </w:p>
    <w:p>
      <w:pPr>
        <w:numPr>
          <w:ilvl w:val="0"/>
          <w:numId w:val="1004"/>
        </w:numPr>
        <w:pStyle w:val="Compact"/>
      </w:pPr>
      <w:r>
        <w:rPr>
          <w:bCs/>
          <w:b/>
        </w:rPr>
        <w:t xml:space="preserve">Senior Sustainability Consultant:</w:t>
      </w:r>
      <w:r>
        <w:t xml:space="preserve"> </w:t>
      </w:r>
      <w:r>
        <w:t xml:space="preserve">omppxymiqn</w:t>
      </w:r>
    </w:p>
    <w:p>
      <w:pPr>
        <w:numPr>
          <w:ilvl w:val="0"/>
          <w:numId w:val="1004"/>
        </w:numPr>
        <w:pStyle w:val="Compact"/>
      </w:pPr>
      <w:r>
        <w:rPr>
          <w:bCs/>
          <w:b/>
        </w:rPr>
        <w:t xml:space="preserve">Functional Unit:</w:t>
      </w:r>
      <w:r>
        <w:t xml:space="preserve"> </w:t>
      </w:r>
      <w:r>
        <w:t xml:space="preserve">1.0 unit</w:t>
      </w:r>
    </w:p>
    <w:p>
      <w:pPr>
        <w:numPr>
          <w:ilvl w:val="0"/>
          <w:numId w:val="1004"/>
        </w:numPr>
        <w:pStyle w:val="Compact"/>
      </w:pPr>
      <w:r>
        <w:rPr>
          <w:bCs/>
          <w:b/>
        </w:rPr>
        <w:t xml:space="preserve">System Boundary:</w:t>
      </w:r>
      <w:r>
        <w:t xml:space="preserve"> </w:t>
      </w:r>
      <w:r>
        <w:t xml:space="preserve">factory_gate (expanded to cradle-to-grave for full PCF)</w:t>
      </w:r>
    </w:p>
    <w:p>
      <w:pPr>
        <w:numPr>
          <w:ilvl w:val="0"/>
          <w:numId w:val="1004"/>
        </w:numPr>
        <w:pStyle w:val="Compact"/>
      </w:pPr>
      <w:r>
        <w:rPr>
          <w:bCs/>
          <w:b/>
        </w:rPr>
        <w:t xml:space="preserve">Geographic Scope:</w:t>
      </w:r>
      <w:r>
        <w:t xml:space="preserve"> </w:t>
      </w:r>
      <w:r>
        <w:t xml:space="preserve">Final Production Country: China, Supply Chain Focus: Europe Focused</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rPr>
          <w:bCs/>
          <w:b/>
        </w:rPr>
        <w:t xml:space="preserve">Product Weight (Estimated Total):</w:t>
      </w:r>
      <w:r>
        <w:t xml:space="preserve"> </w:t>
      </w:r>
      <w:r>
        <w:t xml:space="preserve">0.45 kg (calculated from BOM)</w:t>
      </w:r>
    </w:p>
    <w:bookmarkStart w:id="29" w:name="X12c7b351674ff528bcb1f717e743867e5ca9f3c"/>
    <w:p>
      <w:pPr>
        <w:pStyle w:val="Heading3"/>
      </w:pPr>
      <w:r>
        <w:t xml:space="preserve">2.1. Detailed Bill of Materials (BOM) for imyqspyjql (ojtmklei)</w:t>
      </w:r>
    </w:p>
    <w:p>
      <w:pPr>
        <w:pStyle w:val="FirstParagraph"/>
      </w:pPr>
      <w:r>
        <w:t xml:space="preserve">The following Bill of Materials (BOM) was used for high-accuracy material impact calculation. Emission factors are representative values from Ecoinvent/DEFRA for a typical small electronic device, considering average production processes.</w:t>
      </w:r>
    </w:p>
    <w:p>
      <w:pPr>
        <w:pStyle w:val="BodyText"/>
      </w:pPr>
      <w:r>
        <w:rPr>
          <w:iCs/>
          <w:i/>
        </w:rPr>
        <w:t xml:space="preserve">Note: The BOM data provided as \'ojtmklei\' is a placeholder. Illustrative data for a generic electronic device has been generated to demonstrate the detailed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 (Top)</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3.80</w:t>
            </w:r>
          </w:p>
        </w:tc>
        <w:tc>
          <w:tcPr/>
          <w:p>
            <w:pPr>
              <w:pStyle w:val="Compact"/>
              <w:jc w:val="left"/>
            </w:pPr>
            <w:r>
              <w:t xml:space="preserve">0.570</w:t>
            </w:r>
          </w:p>
        </w:tc>
      </w:tr>
      <w:tr>
        <w:tc>
          <w:tcPr/>
          <w:p>
            <w:pPr>
              <w:pStyle w:val="Compact"/>
              <w:jc w:val="left"/>
            </w:pPr>
            <w:r>
              <w:t xml:space="preserve">M002</w:t>
            </w:r>
          </w:p>
        </w:tc>
        <w:tc>
          <w:tcPr/>
          <w:p>
            <w:pPr>
              <w:pStyle w:val="Compact"/>
              <w:jc w:val="left"/>
            </w:pPr>
            <w:r>
              <w:t xml:space="preserve">ABS Plastic Casing (Bottom)</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3.80</w:t>
            </w:r>
          </w:p>
        </w:tc>
        <w:tc>
          <w:tcPr/>
          <w:p>
            <w:pPr>
              <w:pStyle w:val="Compact"/>
              <w:jc w:val="left"/>
            </w:pPr>
            <w:r>
              <w:t xml:space="preserve">0.380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0.600</w:t>
            </w:r>
          </w:p>
        </w:tc>
      </w:tr>
      <w:tr>
        <w:tc>
          <w:tcPr/>
          <w:p>
            <w:pPr>
              <w:pStyle w:val="Compact"/>
              <w:jc w:val="left"/>
            </w:pPr>
            <w:r>
              <w:t xml:space="preserve">M004</w:t>
            </w:r>
          </w:p>
        </w:tc>
        <w:tc>
          <w:tcPr/>
          <w:p>
            <w:pPr>
              <w:pStyle w:val="Compact"/>
              <w:jc w:val="left"/>
            </w:pPr>
            <w:r>
              <w:t xml:space="preserve">Copper Wiring (Internal)</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4.50</w:t>
            </w:r>
          </w:p>
        </w:tc>
        <w:tc>
          <w:tcPr/>
          <w:p>
            <w:pPr>
              <w:pStyle w:val="Compact"/>
              <w:jc w:val="left"/>
            </w:pPr>
            <w:r>
              <w:t xml:space="preserve">0.090</w:t>
            </w:r>
          </w:p>
        </w:tc>
      </w:tr>
      <w:tr>
        <w:tc>
          <w:tcPr/>
          <w:p>
            <w:pPr>
              <w:pStyle w:val="Compact"/>
              <w:jc w:val="left"/>
            </w:pPr>
            <w:r>
              <w:t xml:space="preserve">M005</w:t>
            </w:r>
          </w:p>
        </w:tc>
        <w:tc>
          <w:tcPr/>
          <w:p>
            <w:pPr>
              <w:pStyle w:val="Compact"/>
              <w:jc w:val="left"/>
            </w:pPr>
            <w:r>
              <w:t xml:space="preserve">Lithium-ion Battery (Small)</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80.00</w:t>
            </w:r>
          </w:p>
        </w:tc>
        <w:tc>
          <w:tcPr/>
          <w:p>
            <w:pPr>
              <w:pStyle w:val="Compact"/>
              <w:jc w:val="left"/>
            </w:pPr>
            <w:r>
              <w:t xml:space="preserve">6.400</w:t>
            </w:r>
          </w:p>
        </w:tc>
      </w:tr>
      <w:tr>
        <w:tc>
          <w:tcPr/>
          <w:p>
            <w:pPr>
              <w:pStyle w:val="Compact"/>
              <w:jc w:val="left"/>
            </w:pPr>
            <w:r>
              <w:t xml:space="preserve">M006</w:t>
            </w:r>
          </w:p>
        </w:tc>
        <w:tc>
          <w:tcPr/>
          <w:p>
            <w:pPr>
              <w:pStyle w:val="Compact"/>
              <w:jc w:val="left"/>
            </w:pPr>
            <w:r>
              <w:t xml:space="preserve">Steel Screws (Various)</w:t>
            </w:r>
          </w:p>
        </w:tc>
        <w:tc>
          <w:tcPr/>
          <w:p>
            <w:pPr>
              <w:pStyle w:val="Compact"/>
              <w:jc w:val="left"/>
            </w:pPr>
            <w:r>
              <w:t xml:space="preserve">Metals</w:t>
            </w:r>
          </w:p>
        </w:tc>
        <w:tc>
          <w:tcPr/>
          <w:p>
            <w:pPr>
              <w:pStyle w:val="Compact"/>
              <w:jc w:val="left"/>
            </w:pPr>
            <w:r>
              <w:t xml:space="preserve">Metal 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r>
        <w:tc>
          <w:tcPr/>
          <w:p>
            <w:pPr>
              <w:pStyle w:val="Compact"/>
              <w:jc w:val="left"/>
            </w:pPr>
            <w:r>
              <w:t xml:space="preserve">M007</w:t>
            </w:r>
          </w:p>
        </w:tc>
        <w:tc>
          <w:tcPr/>
          <w:p>
            <w:pPr>
              <w:pStyle w:val="Compact"/>
              <w:jc w:val="left"/>
            </w:pPr>
            <w:r>
              <w:t xml:space="preserve">Packaging (Corrugated Cardboard Box)</w:t>
            </w:r>
          </w:p>
        </w:tc>
        <w:tc>
          <w:tcPr/>
          <w:p>
            <w:pPr>
              <w:pStyle w:val="Compact"/>
              <w:jc w:val="left"/>
            </w:pPr>
            <w:r>
              <w:t xml:space="preserve">Paper/Cardboard</w:t>
            </w:r>
          </w:p>
        </w:tc>
        <w:tc>
          <w:tcPr/>
          <w:p>
            <w:pPr>
              <w:pStyle w:val="Compact"/>
              <w:jc w:val="left"/>
            </w:pPr>
            <w:r>
              <w:t xml:space="preserve">Packaging Production</w:t>
            </w:r>
          </w:p>
        </w:tc>
        <w:tc>
          <w:tcPr/>
          <w:p>
            <w:pPr>
              <w:pStyle w:val="Compact"/>
              <w:jc w:val="left"/>
            </w:pPr>
            <w:r>
              <w:t xml:space="preserve">0.04</w:t>
            </w:r>
          </w:p>
        </w:tc>
        <w:tc>
          <w:tcPr/>
          <w:p>
            <w:pPr>
              <w:pStyle w:val="Compact"/>
              <w:jc w:val="left"/>
            </w:pPr>
            <w:r>
              <w:t xml:space="preserve">kg</w:t>
            </w:r>
          </w:p>
        </w:tc>
        <w:tc>
          <w:tcPr/>
          <w:p>
            <w:pPr>
              <w:pStyle w:val="Compact"/>
              <w:jc w:val="left"/>
            </w:pPr>
            <w:r>
              <w:t xml:space="preserve">0.60</w:t>
            </w:r>
          </w:p>
        </w:tc>
        <w:tc>
          <w:tcPr/>
          <w:p>
            <w:pPr>
              <w:pStyle w:val="Compact"/>
              <w:jc w:val="left"/>
            </w:pPr>
            <w:r>
              <w:t xml:space="preserve">0.024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8.084 kg CO2e</w:t>
            </w:r>
          </w:p>
        </w:tc>
      </w:tr>
    </w:tbl>
    <w:p>
      <w:pPr>
        <w:pStyle w:val="BodyText"/>
      </w:pPr>
      <w:r>
        <w:t xml:space="preserve">This constitutes Scope 3, Category 1 (Purchased Goods and Services).</w:t>
      </w:r>
    </w:p>
    <w:bookmarkEnd w:id="29"/>
    <w:bookmarkStart w:id="30" w:name="manufacturing-phase-customization"/>
    <w:p>
      <w:pPr>
        <w:pStyle w:val="Heading3"/>
      </w:pPr>
      <w:r>
        <w:t xml:space="preserve">2.2. Manufacturing Phase Customization</w:t>
      </w:r>
    </w:p>
    <w:p>
      <w:pPr>
        <w:numPr>
          <w:ilvl w:val="0"/>
          <w:numId w:val="1005"/>
        </w:numPr>
        <w:pStyle w:val="Compact"/>
      </w:pPr>
      <w:r>
        <w:rPr>
          <w:bCs/>
          <w:b/>
        </w:rPr>
        <w:t xml:space="preserve">Renewable Energy Usage (lgnpdwdwpk):</w:t>
      </w:r>
      <w:r>
        <w:t xml:space="preserve"> </w:t>
      </w:r>
      <w:r>
        <w:t xml:space="preserve">60% of electricity purchased for manufacturing is from renewable sources (e.g., wind, solar).</w:t>
      </w:r>
    </w:p>
    <w:p>
      <w:pPr>
        <w:numPr>
          <w:ilvl w:val="0"/>
          <w:numId w:val="1005"/>
        </w:numPr>
        <w:pStyle w:val="Compact"/>
      </w:pPr>
      <w:r>
        <w:rPr>
          <w:bCs/>
          <w:b/>
        </w:rPr>
        <w:t xml:space="preserve">Energy Intensity (kWh/unit) (lokyhgfsgm):</w:t>
      </w:r>
      <w:r>
        <w:t xml:space="preserve"> </w:t>
      </w:r>
      <w:r>
        <w:t xml:space="preserve">2.5 kWh/unit.</w:t>
      </w:r>
    </w:p>
    <w:p>
      <w:pPr>
        <w:numPr>
          <w:ilvl w:val="0"/>
          <w:numId w:val="1005"/>
        </w:numPr>
        <w:pStyle w:val="Compact"/>
      </w:pPr>
      <w:r>
        <w:rPr>
          <w:bCs/>
          <w:b/>
        </w:rPr>
        <w:t xml:space="preserve">Grid Emission Factor (China):</w:t>
      </w:r>
      <w:r>
        <w:t xml:space="preserve"> </w:t>
      </w:r>
      <w:r>
        <w:t xml:space="preserve">0.65 kg CO2e/kWh (average for China grid mix, Ecoinvent v3.10/IPCC 2021).</w:t>
      </w:r>
    </w:p>
    <w:p>
      <w:pPr>
        <w:numPr>
          <w:ilvl w:val="0"/>
          <w:numId w:val="1005"/>
        </w:numPr>
        <w:pStyle w:val="Compact"/>
      </w:pPr>
      <w:r>
        <w:rPr>
          <w:bCs/>
          <w:b/>
        </w:rPr>
        <w:t xml:space="preserve">Effective Emission Factor:</w:t>
      </w:r>
      <w:r>
        <w:t xml:space="preserve"> </w:t>
      </w:r>
      <w:r>
        <w:t xml:space="preserve">(1 - 0.60) * 0.65 kg CO2e/kWh = 0.4 * 0.65 = 0.26 kg CO2e/kWh.</w:t>
      </w:r>
    </w:p>
    <w:p>
      <w:pPr>
        <w:numPr>
          <w:ilvl w:val="0"/>
          <w:numId w:val="1005"/>
        </w:numPr>
        <w:pStyle w:val="Compact"/>
      </w:pPr>
      <w:r>
        <w:rPr>
          <w:bCs/>
          <w:b/>
        </w:rPr>
        <w:t xml:space="preserve">Calculated Manufacturing Emissions:</w:t>
      </w:r>
      <w:r>
        <w:t xml:space="preserve"> </w:t>
      </w:r>
      <w:r>
        <w:t xml:space="preserve">2.5 kWh/unit * 0.26 kg CO2e/kWh = 0.65 kg CO2e/unit.</w:t>
      </w:r>
    </w:p>
    <w:p>
      <w:pPr>
        <w:pStyle w:val="FirstParagraph"/>
      </w:pPr>
      <w:r>
        <w:t xml:space="preserve">This represents Scope 2 emissions from purchased electricity.</w:t>
      </w:r>
    </w:p>
    <w:bookmarkEnd w:id="30"/>
    <w:bookmarkStart w:id="31" w:name="transport-logistics-data"/>
    <w:p>
      <w:pPr>
        <w:pStyle w:val="Heading3"/>
      </w:pPr>
      <w:r>
        <w:t xml:space="preserve">2.3. Transport &amp; Logistics Data</w:t>
      </w:r>
    </w:p>
    <w:p>
      <w:pPr>
        <w:numPr>
          <w:ilvl w:val="0"/>
          <w:numId w:val="1006"/>
        </w:numPr>
        <w:pStyle w:val="Compact"/>
      </w:pPr>
      <w:r>
        <w:rPr>
          <w:bCs/>
          <w:b/>
        </w:rPr>
        <w:t xml:space="preserve">Transport Mode (Select Mode):</w:t>
      </w:r>
      <w:r>
        <w:t xml:space="preserve"> </w:t>
      </w:r>
      <w:r>
        <w:t xml:space="preserve">Ocean Freight (China to Europe) followed by Heavy Goods Vehicle (HGV) Road Freight (Europe to Distribution Center), and Light Commercial Vehicle (LCV) Parcel Delivery (Last-Mile).</w:t>
      </w:r>
    </w:p>
    <w:p>
      <w:pPr>
        <w:numPr>
          <w:ilvl w:val="0"/>
          <w:numId w:val="1006"/>
        </w:numPr>
        <w:pStyle w:val="Compact"/>
      </w:pPr>
      <w:r>
        <w:rPr>
          <w:bCs/>
          <w:b/>
        </w:rPr>
        <w:t xml:space="preserve">Transport Distance (hovnfyhssh):</w:t>
      </w:r>
    </w:p>
    <w:p>
      <w:pPr>
        <w:numPr>
          <w:ilvl w:val="1"/>
          <w:numId w:val="1007"/>
        </w:numPr>
        <w:pStyle w:val="Compact"/>
      </w:pPr>
      <w:r>
        <w:t xml:space="preserve">Ocean Freight: 20,000 km (China to Europe port)</w:t>
      </w:r>
    </w:p>
    <w:p>
      <w:pPr>
        <w:numPr>
          <w:ilvl w:val="1"/>
          <w:numId w:val="1007"/>
        </w:numPr>
        <w:pStyle w:val="Compact"/>
      </w:pPr>
      <w:r>
        <w:t xml:space="preserve">HGV Road Freight: 500 km (Europe port to local distribution center)</w:t>
      </w:r>
    </w:p>
    <w:p>
      <w:pPr>
        <w:numPr>
          <w:ilvl w:val="1"/>
          <w:numId w:val="1007"/>
        </w:numPr>
        <w:pStyle w:val="Compact"/>
      </w:pPr>
      <w:r>
        <w:t xml:space="preserve">LCV Parcel Delivery: 50 km (Distribution center to end-user)</w:t>
      </w:r>
    </w:p>
    <w:p>
      <w:pPr>
        <w:numPr>
          <w:ilvl w:val="0"/>
          <w:numId w:val="1006"/>
        </w:numPr>
        <w:pStyle w:val="Compact"/>
      </w:pPr>
      <w:r>
        <w:rPr>
          <w:bCs/>
          <w:b/>
        </w:rPr>
        <w:t xml:space="preserve">Last-Mile Delivery Channel (Delivery Type):</w:t>
      </w:r>
      <w:r>
        <w:t xml:space="preserve"> </w:t>
      </w:r>
      <w:r>
        <w:t xml:space="preserve">Parcel delivery service.</w:t>
      </w:r>
    </w:p>
    <w:p>
      <w:pPr>
        <w:numPr>
          <w:ilvl w:val="0"/>
          <w:numId w:val="1006"/>
        </w:numPr>
        <w:pStyle w:val="Compact"/>
      </w:pPr>
      <w:r>
        <w:rPr>
          <w:bCs/>
          <w:b/>
        </w:rPr>
        <w:t xml:space="preserve">Product Weight:</w:t>
      </w:r>
      <w:r>
        <w:t xml:space="preserve"> </w:t>
      </w:r>
      <w:r>
        <w:t xml:space="preserve">0.45 kg/unit (from BOM).</w:t>
      </w:r>
    </w:p>
    <w:p>
      <w:pPr>
        <w:numPr>
          <w:ilvl w:val="0"/>
          <w:numId w:val="1006"/>
        </w:numPr>
        <w:pStyle w:val="Compact"/>
      </w:pPr>
      <w:r>
        <w:rPr>
          <w:bCs/>
          <w:b/>
        </w:rPr>
        <w:t xml:space="preserve">Illustrative Emission Factors (Ecoinvent/DEFRA):</w:t>
      </w:r>
    </w:p>
    <w:p>
      <w:pPr>
        <w:numPr>
          <w:ilvl w:val="1"/>
          <w:numId w:val="1008"/>
        </w:numPr>
        <w:pStyle w:val="Compact"/>
      </w:pPr>
      <w:r>
        <w:t xml:space="preserve">Ocean Freight: 0.01 kg CO2e/tonne-km</w:t>
      </w:r>
    </w:p>
    <w:p>
      <w:pPr>
        <w:numPr>
          <w:ilvl w:val="1"/>
          <w:numId w:val="1008"/>
        </w:numPr>
        <w:pStyle w:val="Compact"/>
      </w:pPr>
      <w:r>
        <w:t xml:space="preserve">HGV Road Freight: 0.10 kg CO2e/tonne-km</w:t>
      </w:r>
    </w:p>
    <w:p>
      <w:pPr>
        <w:numPr>
          <w:ilvl w:val="1"/>
          <w:numId w:val="1008"/>
        </w:numPr>
        <w:pStyle w:val="Compact"/>
      </w:pPr>
      <w:r>
        <w:t xml:space="preserve">LCV Parcel Delivery: 0.30 kg CO2e/tonne-km</w:t>
      </w:r>
    </w:p>
    <w:p>
      <w:pPr>
        <w:pStyle w:val="FirstParagraph"/>
      </w:pPr>
      <w:r>
        <w:t xml:space="preserve">These are categorized as Scope 3, Category 4 (Upstream Transportation and Distribution) and Category 9 (Downstream Transportation and Distribution).</w:t>
      </w:r>
    </w:p>
    <w:bookmarkEnd w:id="31"/>
    <w:bookmarkStart w:id="32" w:name="use-phase-data"/>
    <w:p>
      <w:pPr>
        <w:pStyle w:val="Heading3"/>
      </w:pPr>
      <w:r>
        <w:t xml:space="preserve">2.4. Use Phase Data</w:t>
      </w:r>
    </w:p>
    <w:p>
      <w:pPr>
        <w:numPr>
          <w:ilvl w:val="0"/>
          <w:numId w:val="1009"/>
        </w:numPr>
        <w:pStyle w:val="Compact"/>
      </w:pPr>
      <w:r>
        <w:rPr>
          <w:bCs/>
          <w:b/>
        </w:rPr>
        <w:t xml:space="preserve">Product Lifespan (ezmuzwkrgy):</w:t>
      </w:r>
      <w:r>
        <w:t xml:space="preserve"> </w:t>
      </w:r>
      <w:r>
        <w:t xml:space="preserve">3 years.</w:t>
      </w:r>
    </w:p>
    <w:p>
      <w:pPr>
        <w:numPr>
          <w:ilvl w:val="0"/>
          <w:numId w:val="1009"/>
        </w:numPr>
        <w:pStyle w:val="Compact"/>
      </w:pPr>
      <w:r>
        <w:rPr>
          <w:bCs/>
          <w:b/>
        </w:rPr>
        <w:t xml:space="preserve">Energy Consumption in Use (fsmknplzyq):</w:t>
      </w:r>
      <w:r>
        <w:t xml:space="preserve"> </w:t>
      </w:r>
      <w:r>
        <w:t xml:space="preserve">5 kWh/year.</w:t>
      </w:r>
    </w:p>
    <w:p>
      <w:pPr>
        <w:numPr>
          <w:ilvl w:val="0"/>
          <w:numId w:val="1009"/>
        </w:numPr>
        <w:pStyle w:val="Compact"/>
      </w:pPr>
      <w:r>
        <w:rPr>
          <w:bCs/>
          <w:b/>
        </w:rPr>
        <w:t xml:space="preserve">Use Region:</w:t>
      </w:r>
      <w:r>
        <w:t xml:space="preserve"> </w:t>
      </w:r>
      <w:r>
        <w:t xml:space="preserve">Europe (assumed for calculation, given "Supply Chain Focus: Europe Focused").</w:t>
      </w:r>
    </w:p>
    <w:p>
      <w:pPr>
        <w:numPr>
          <w:ilvl w:val="0"/>
          <w:numId w:val="1009"/>
        </w:numPr>
        <w:pStyle w:val="Compact"/>
      </w:pPr>
      <w:r>
        <w:rPr>
          <w:bCs/>
          <w:b/>
        </w:rPr>
        <w:t xml:space="preserve">European Grid Emission Factor (average):</w:t>
      </w:r>
      <w:r>
        <w:t xml:space="preserve"> </w:t>
      </w:r>
      <w:r>
        <w:t xml:space="preserve">0.30 kg CO2e/kWh (Ecoinvent v3.10/IPCC 2021).</w:t>
      </w:r>
    </w:p>
    <w:p>
      <w:pPr>
        <w:numPr>
          <w:ilvl w:val="0"/>
          <w:numId w:val="1009"/>
        </w:numPr>
        <w:pStyle w:val="Compact"/>
      </w:pPr>
      <w:r>
        <w:rPr>
          <w:bCs/>
          <w:b/>
        </w:rPr>
        <w:t xml:space="preserve">Calculated Use Phase Emissions:</w:t>
      </w:r>
      <w:r>
        <w:t xml:space="preserve"> </w:t>
      </w:r>
      <w:r>
        <w:t xml:space="preserve">(5 kWh/year * 3 years) * 0.30 kg CO2e/kWh = 15 kWh * 0.30 kg CO2e/kWh = 4.50 kg CO2e/unit.</w:t>
      </w:r>
    </w:p>
    <w:p>
      <w:pPr>
        <w:pStyle w:val="FirstParagraph"/>
      </w:pPr>
      <w:r>
        <w:t xml:space="preserve">This represents Scope 3, Category 11 (Use of Sold Products).</w:t>
      </w:r>
    </w:p>
    <w:bookmarkEnd w:id="32"/>
    <w:bookmarkStart w:id="33" w:name="end-of-life-eol-scenarios"/>
    <w:p>
      <w:pPr>
        <w:pStyle w:val="Heading3"/>
      </w:pPr>
      <w:r>
        <w:t xml:space="preserve">2.5. End-of-Life (EoL) Scenarios</w:t>
      </w:r>
    </w:p>
    <w:p>
      <w:pPr>
        <w:numPr>
          <w:ilvl w:val="0"/>
          <w:numId w:val="1010"/>
        </w:numPr>
        <w:pStyle w:val="Compact"/>
      </w:pPr>
      <w:r>
        <w:rPr>
          <w:bCs/>
          <w:b/>
        </w:rPr>
        <w:t xml:space="preserve">Recyclability Percentage (jndrksfgjp):</w:t>
      </w:r>
      <w:r>
        <w:t xml:space="preserve"> </w:t>
      </w:r>
      <w:r>
        <w:t xml:space="preserve">70%. (Based on material composition, packaging is largely recyclable, electronics components less so or require specialized recycling).</w:t>
      </w:r>
    </w:p>
    <w:p>
      <w:pPr>
        <w:numPr>
          <w:ilvl w:val="0"/>
          <w:numId w:val="1010"/>
        </w:numPr>
        <w:pStyle w:val="Compact"/>
      </w:pPr>
      <w:r>
        <w:rPr>
          <w:bCs/>
          <w:b/>
        </w:rPr>
        <w:t xml:space="preserve">Circular/Take-back Programs (opxunlpdmg):</w:t>
      </w:r>
      <w:r>
        <w:t xml:space="preserve"> </w:t>
      </w:r>
      <w:r>
        <w:t xml:space="preserve">rvspitsymg operates a product take-back program in key European markets, encouraging customers to return products for proper recycling. Recovered materials (e.g., metals, some plastics) are sent to certified recycling facilities.</w:t>
      </w:r>
    </w:p>
    <w:p>
      <w:pPr>
        <w:numPr>
          <w:ilvl w:val="0"/>
          <w:numId w:val="1010"/>
        </w:numPr>
        <w:pStyle w:val="Compact"/>
      </w:pPr>
      <w:r>
        <w:rPr>
          <w:bCs/>
          <w:b/>
        </w:rPr>
        <w:t xml:space="preserve">Waste to Landfill/Incineration (30%):</w:t>
      </w:r>
      <w:r>
        <w:t xml:space="preserve"> </w:t>
      </w:r>
      <w:r>
        <w:t xml:space="preserve">Assuming the remaining 30% of the product (0.45 kg * 0.30 = 0.135 kg) goes to landfill or incineration.</w:t>
      </w:r>
    </w:p>
    <w:p>
      <w:pPr>
        <w:numPr>
          <w:ilvl w:val="0"/>
          <w:numId w:val="1010"/>
        </w:numPr>
        <w:pStyle w:val="Compact"/>
      </w:pPr>
      <w:r>
        <w:rPr>
          <w:bCs/>
          <w:b/>
        </w:rPr>
        <w:t xml:space="preserve">Illustrative EoL Emission Factor (non-recycled):</w:t>
      </w:r>
      <w:r>
        <w:t xml:space="preserve"> </w:t>
      </w:r>
      <w:r>
        <w:t xml:space="preserve">0.15 kg CO2e/kg for mixed waste to landfill/incineration (net emissions, considering potential energy recovery where applicable).</w:t>
      </w:r>
    </w:p>
    <w:p>
      <w:pPr>
        <w:numPr>
          <w:ilvl w:val="0"/>
          <w:numId w:val="1010"/>
        </w:numPr>
        <w:pStyle w:val="Compact"/>
      </w:pPr>
      <w:r>
        <w:rPr>
          <w:bCs/>
          <w:b/>
        </w:rPr>
        <w:t xml:space="preserve">Calculated EoL Emissions:</w:t>
      </w:r>
      <w:r>
        <w:t xml:space="preserve"> </w:t>
      </w:r>
      <w:r>
        <w:t xml:space="preserve">0.135 kg * 0.15 kg CO2e/kg = 0.020 kg CO2e/unit.</w:t>
      </w:r>
    </w:p>
    <w:p>
      <w:pPr>
        <w:pStyle w:val="FirstParagraph"/>
      </w:pPr>
      <w:r>
        <w:t xml:space="preserve">This represents Scope 3, Category 12 (End-of-Life Treatment of Sold Products). The 70% recyclability also represents avoided emissions from virgin material production, which is a significant environmental benefit not directly captured as a negative emission in this calculation, but acknowledged as a circular economy impact.</w:t>
      </w:r>
    </w:p>
    <w:p>
      <w:r>
        <w:pict>
          <v:rect style="width:0;height:1.5pt" o:hralign="center" o:hrstd="t" o:hr="t"/>
        </w:pict>
      </w:r>
    </w:p>
    <w:bookmarkEnd w:id="33"/>
    <w:bookmarkEnd w:id="34"/>
    <w:bookmarkStart w:id="37" w:name="Xb3bca3d729449d86fb47a290dbedacc42de0690"/>
    <w:p>
      <w:pPr>
        <w:pStyle w:val="Heading2"/>
      </w:pPr>
      <w:r>
        <w:t xml:space="preserve">3. Lifecycle Carbon Footprint Calculation and GHG Scope Allocation</w:t>
      </w:r>
    </w:p>
    <w:bookmarkStart w:id="35" w:name="emissions-by-lifecycle-stage"/>
    <w:p>
      <w:pPr>
        <w:pStyle w:val="Heading3"/>
      </w:pPr>
      <w:r>
        <w:t xml:space="preserve">3.1.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Calculated Emissions (kg CO2e/unit)</w:t>
            </w:r>
          </w:p>
        </w:tc>
        <w:tc>
          <w:tcPr/>
          <w:p>
            <w:pPr>
              <w:pStyle w:val="Compact"/>
              <w:jc w:val="left"/>
            </w:pPr>
            <w:r>
              <w:t xml:space="preserve">GHG Scope</w:t>
            </w:r>
          </w:p>
        </w:tc>
        <w:tc>
          <w:tcPr/>
          <w:p>
            <w:pPr>
              <w:pStyle w:val="Compact"/>
              <w:jc w:val="left"/>
            </w:pPr>
            <w:r>
              <w:t xml:space="preserve">GHG Protocol Category</w:t>
            </w:r>
          </w:p>
        </w:tc>
      </w:tr>
      <w:tr>
        <w:tc>
          <w:tcPr/>
          <w:p>
            <w:pPr>
              <w:pStyle w:val="Compact"/>
              <w:jc w:val="left"/>
            </w:pPr>
            <w:r>
              <w:t xml:space="preserve">Materials Acquisition &amp; Pre-processing</w:t>
            </w:r>
          </w:p>
        </w:tc>
        <w:tc>
          <w:tcPr/>
          <w:p>
            <w:pPr>
              <w:pStyle w:val="Compact"/>
              <w:jc w:val="left"/>
            </w:pPr>
            <w:r>
              <w:t xml:space="preserve">8.084</w:t>
            </w:r>
          </w:p>
        </w:tc>
        <w:tc>
          <w:tcPr/>
          <w:p>
            <w:pPr>
              <w:pStyle w:val="Compact"/>
              <w:jc w:val="left"/>
            </w:pPr>
            <w:r>
              <w:t xml:space="preserve">Scope 3</w:t>
            </w:r>
          </w:p>
        </w:tc>
        <w:tc>
          <w:tcPr/>
          <w:p>
            <w:pPr>
              <w:pStyle w:val="Compact"/>
              <w:jc w:val="left"/>
            </w:pPr>
            <w:r>
              <w:t xml:space="preserve">Category 1: Purchased Goods &amp; Services</w:t>
            </w:r>
          </w:p>
        </w:tc>
      </w:tr>
      <w:tr>
        <w:tc>
          <w:tcPr/>
          <w:p>
            <w:pPr>
              <w:pStyle w:val="Compact"/>
              <w:jc w:val="left"/>
            </w:pPr>
            <w:r>
              <w:t xml:space="preserve">Manufacturing</w:t>
            </w:r>
          </w:p>
        </w:tc>
        <w:tc>
          <w:tcPr/>
          <w:p>
            <w:pPr>
              <w:pStyle w:val="Compact"/>
              <w:jc w:val="left"/>
            </w:pPr>
            <w:r>
              <w:t xml:space="preserve">0.650</w:t>
            </w:r>
          </w:p>
        </w:tc>
        <w:tc>
          <w:tcPr/>
          <w:p>
            <w:pPr>
              <w:pStyle w:val="Compact"/>
              <w:jc w:val="left"/>
            </w:pPr>
            <w:r>
              <w:t xml:space="preserve">Scope 2</w:t>
            </w:r>
          </w:p>
        </w:tc>
        <w:tc>
          <w:tcPr/>
          <w:p>
            <w:pPr>
              <w:pStyle w:val="Compact"/>
              <w:jc w:val="left"/>
            </w:pPr>
            <w:r>
              <w:t xml:space="preserve">Category 3: Fuel- &amp; Energy-Related Activities (Purchased electricity)</w:t>
            </w:r>
          </w:p>
        </w:tc>
      </w:tr>
      <w:tr>
        <w:tc>
          <w:tcPr/>
          <w:p>
            <w:pPr>
              <w:pStyle w:val="Compact"/>
              <w:jc w:val="left"/>
            </w:pPr>
            <w:r>
              <w:t xml:space="preserve">Transportation (Inbound - Ocean)</w:t>
            </w:r>
          </w:p>
        </w:tc>
        <w:tc>
          <w:tcPr/>
          <w:p>
            <w:pPr>
              <w:pStyle w:val="Compact"/>
              <w:jc w:val="left"/>
            </w:pPr>
            <w:r>
              <w:t xml:space="preserve">0.009</w:t>
            </w:r>
          </w:p>
        </w:tc>
        <w:tc>
          <w:tcPr/>
          <w:p>
            <w:pPr>
              <w:pStyle w:val="Compact"/>
              <w:jc w:val="left"/>
            </w:pPr>
            <w:r>
              <w:t xml:space="preserve">Scope 3</w:t>
            </w:r>
          </w:p>
        </w:tc>
        <w:tc>
          <w:tcPr/>
          <w:p>
            <w:pPr>
              <w:pStyle w:val="Compact"/>
              <w:jc w:val="left"/>
            </w:pPr>
            <w:r>
              <w:t xml:space="preserve">Category 4: Upstream Transportation &amp; Distribution</w:t>
            </w:r>
          </w:p>
        </w:tc>
      </w:tr>
      <w:tr>
        <w:tc>
          <w:tcPr/>
          <w:p>
            <w:pPr>
              <w:pStyle w:val="Compact"/>
              <w:jc w:val="left"/>
            </w:pPr>
            <w:r>
              <w:t xml:space="preserve">Transportation (Outbound - HGV Road)</w:t>
            </w:r>
          </w:p>
        </w:tc>
        <w:tc>
          <w:tcPr/>
          <w:p>
            <w:pPr>
              <w:pStyle w:val="Compact"/>
              <w:jc w:val="left"/>
            </w:pPr>
            <w:r>
              <w:t xml:space="preserve">0.023</w:t>
            </w: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Transportation (Outbound - LCV Parcel)</w:t>
            </w:r>
          </w:p>
        </w:tc>
        <w:tc>
          <w:tcPr/>
          <w:p>
            <w:pPr>
              <w:pStyle w:val="Compact"/>
              <w:jc w:val="left"/>
            </w:pPr>
            <w:r>
              <w:t xml:space="preserve">0.007</w:t>
            </w: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Use Phase</w:t>
            </w:r>
          </w:p>
        </w:tc>
        <w:tc>
          <w:tcPr/>
          <w:p>
            <w:pPr>
              <w:pStyle w:val="Compact"/>
              <w:jc w:val="left"/>
            </w:pPr>
            <w:r>
              <w:t xml:space="preserve">4.500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w:t>
            </w:r>
          </w:p>
        </w:tc>
        <w:tc>
          <w:tcPr/>
          <w:p>
            <w:pPr>
              <w:pStyle w:val="Compact"/>
              <w:jc w:val="left"/>
            </w:pPr>
            <w:r>
              <w:t xml:space="preserve">0.020</w:t>
            </w:r>
          </w:p>
        </w:tc>
        <w:tc>
          <w:tcPr/>
          <w:p>
            <w:pPr>
              <w:pStyle w:val="Compact"/>
              <w:jc w:val="left"/>
            </w:pPr>
            <w:r>
              <w:t xml:space="preserve">Scope 3</w:t>
            </w:r>
          </w:p>
        </w:tc>
        <w:tc>
          <w:tcPr/>
          <w:p>
            <w:pPr>
              <w:pStyle w:val="Compact"/>
              <w:jc w:val="left"/>
            </w:pPr>
            <w:r>
              <w:t xml:space="preserve">Category 12: End-of-Life Treatment of Sold Products</w:t>
            </w:r>
          </w:p>
        </w:tc>
      </w:tr>
      <w:tr>
        <w:tc>
          <w:tcPr>
            <w:gridSpan w:val="3"/>
          </w:tcPr>
          <w:p>
            <w:pPr>
              <w:pStyle w:val="Compact"/>
              <w:jc w:val="right"/>
            </w:pPr>
            <w:r>
              <w:rPr>
                <w:bCs/>
                <w:b/>
              </w:rPr>
              <w:t xml:space="preserve">Total Product Carbon Footprint:</w:t>
            </w:r>
          </w:p>
        </w:tc>
        <w:tc>
          <w:tcPr/>
          <w:p>
            <w:pPr>
              <w:pStyle w:val="Compact"/>
              <w:jc w:val="left"/>
            </w:pPr>
            <w:r>
              <w:rPr>
                <w:bCs/>
                <w:b/>
              </w:rPr>
              <w:t xml:space="preserve">13.293 kg CO2e/unit</w:t>
            </w:r>
          </w:p>
        </w:tc>
      </w:tr>
    </w:tbl>
    <w:bookmarkEnd w:id="35"/>
    <w:bookmarkStart w:id="36" w:name="summary-of-pcf-by-ghg-scope"/>
    <w:p>
      <w:pPr>
        <w:pStyle w:val="Heading3"/>
      </w:pPr>
      <w:r>
        <w:t xml:space="preserve">3.2. Summary of PCF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 (Assumed negligible for manufacturing)</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0.650</w:t>
            </w:r>
          </w:p>
        </w:tc>
        <w:tc>
          <w:tcPr/>
          <w:p>
            <w:pPr>
              <w:pStyle w:val="Compact"/>
              <w:jc w:val="left"/>
            </w:pPr>
            <w:r>
              <w:t xml:space="preserve">4.89%</w:t>
            </w:r>
          </w:p>
        </w:tc>
      </w:tr>
      <w:tr>
        <w:tc>
          <w:tcPr/>
          <w:p>
            <w:pPr>
              <w:pStyle w:val="Compact"/>
              <w:jc w:val="left"/>
            </w:pPr>
            <w:r>
              <w:t xml:space="preserve">Scope 3 (Value Chain Emissions)</w:t>
            </w:r>
          </w:p>
        </w:tc>
        <w:tc>
          <w:tcPr/>
          <w:p>
            <w:pPr>
              <w:pStyle w:val="Compact"/>
              <w:jc w:val="left"/>
            </w:pPr>
            <w:r>
              <w:t xml:space="preserve">12.643</w:t>
            </w:r>
          </w:p>
        </w:tc>
        <w:tc>
          <w:tcPr/>
          <w:p>
            <w:pPr>
              <w:pStyle w:val="Compact"/>
              <w:jc w:val="left"/>
            </w:pPr>
            <w:r>
              <w:t xml:space="preserve">95.11%</w:t>
            </w:r>
          </w:p>
        </w:tc>
      </w:tr>
      <w:tr>
        <w:tc>
          <w:tcPr/>
          <w:p>
            <w:pPr>
              <w:pStyle w:val="Compact"/>
              <w:jc w:val="right"/>
            </w:pPr>
            <w:r>
              <w:rPr>
                <w:bCs/>
                <w:b/>
              </w:rPr>
              <w:t xml:space="preserve">Total PCF:</w:t>
            </w:r>
          </w:p>
        </w:tc>
        <w:tc>
          <w:tcPr/>
          <w:p>
            <w:pPr>
              <w:pStyle w:val="Compact"/>
              <w:jc w:val="left"/>
            </w:pPr>
            <w:r>
              <w:rPr>
                <w:bCs/>
                <w:b/>
              </w:rPr>
              <w:t xml:space="preserve">13.293 kg CO2e/unit</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analysis demonstrates that Scope 3 emissions account for 95.11% of the total product carbon footprint, exceeding the 2026 GHG Protocol requirement of at least 95% coverage for required Scope 3 emissions.</w:t>
      </w:r>
    </w:p>
    <w:p>
      <w:r>
        <w:pict>
          <v:rect style="width:0;height:1.5pt" o:hralign="center" o:hrstd="t" o:hr="t"/>
        </w:pict>
      </w:r>
    </w:p>
    <w:bookmarkEnd w:id="36"/>
    <w:bookmarkEnd w:id="37"/>
    <w:bookmarkStart w:id="40" w:name="hotspots-and-recommendations"/>
    <w:p>
      <w:pPr>
        <w:pStyle w:val="Heading2"/>
      </w:pPr>
      <w:r>
        <w:t xml:space="preserve">4. Hotspots and Recommendations</w:t>
      </w:r>
    </w:p>
    <w:bookmarkStart w:id="38" w:name="identified-hotspots"/>
    <w:p>
      <w:pPr>
        <w:pStyle w:val="Heading3"/>
      </w:pPr>
      <w:r>
        <w:t xml:space="preserve">4.1. Identified Hotspots</w:t>
      </w:r>
    </w:p>
    <w:p>
      <w:pPr>
        <w:numPr>
          <w:ilvl w:val="0"/>
          <w:numId w:val="1011"/>
        </w:numPr>
        <w:pStyle w:val="Compact"/>
      </w:pPr>
      <w:r>
        <w:rPr>
          <w:bCs/>
          <w:b/>
        </w:rPr>
        <w:t xml:space="preserve">Materials Acquisition &amp; Pre-processing (Scope 3):</w:t>
      </w:r>
      <w:r>
        <w:t xml:space="preserve"> </w:t>
      </w:r>
      <w:r>
        <w:t xml:space="preserve">This stage accounts for the largest portion of the PCF (60.8%). The Lithium-ion Battery (M005) is a significant contributor within this category due to its energy-intensive production processes.</w:t>
      </w:r>
    </w:p>
    <w:p>
      <w:pPr>
        <w:numPr>
          <w:ilvl w:val="0"/>
          <w:numId w:val="1011"/>
        </w:numPr>
        <w:pStyle w:val="Compact"/>
      </w:pPr>
      <w:r>
        <w:rPr>
          <w:bCs/>
          <w:b/>
        </w:rPr>
        <w:t xml:space="preserve">Use Phase (Scope 3):</w:t>
      </w:r>
      <w:r>
        <w:t xml:space="preserve"> </w:t>
      </w:r>
      <w:r>
        <w:t xml:space="preserve">The energy consumed during the product\'s lifespan is the second largest contributor (33.9%), heavily influenced by the electricity grid mix of the usage region.</w:t>
      </w:r>
    </w:p>
    <w:p>
      <w:pPr>
        <w:numPr>
          <w:ilvl w:val="0"/>
          <w:numId w:val="1011"/>
        </w:numPr>
        <w:pStyle w:val="Compact"/>
      </w:pPr>
      <w:r>
        <w:rPr>
          <w:bCs/>
          <w:b/>
        </w:rPr>
        <w:t xml:space="preserve">Manufacturing (Scope 2):</w:t>
      </w:r>
      <w:r>
        <w:t xml:space="preserve"> </w:t>
      </w:r>
      <w:r>
        <w:t xml:space="preserve">While significant, the impact from manufacturing is moderated by the 60% renewable energy usage, but still represents an area for further improvement.</w:t>
      </w:r>
    </w:p>
    <w:p>
      <w:pPr>
        <w:numPr>
          <w:ilvl w:val="0"/>
          <w:numId w:val="1011"/>
        </w:numPr>
        <w:pStyle w:val="Compact"/>
      </w:pPr>
      <w:r>
        <w:rPr>
          <w:bCs/>
          <w:b/>
        </w:rPr>
        <w:t xml:space="preserve">Transportation (Scope 3):</w:t>
      </w:r>
      <w:r>
        <w:t xml:space="preserve"> </w:t>
      </w:r>
      <w:r>
        <w:t xml:space="preserve">Although distances are long, the efficiency of ocean freight keeps its impact relatively low per unit. Road and last-mile delivery contribute more per km but are shorter distances.</w:t>
      </w:r>
    </w:p>
    <w:bookmarkEnd w:id="38"/>
    <w:bookmarkStart w:id="39" w:name="recommendations-for-emission-reduction"/>
    <w:p>
      <w:pPr>
        <w:pStyle w:val="Heading3"/>
      </w:pPr>
      <w:r>
        <w:t xml:space="preserve">4.2. Recommendations for Emission Reduction</w:t>
      </w:r>
    </w:p>
    <w:p>
      <w:pPr>
        <w:pStyle w:val="FirstParagraph"/>
      </w:pPr>
      <w:r>
        <w:t xml:space="preserve">Based on the identified hotspots, rvspitsymg can focus on the following strategies to reduce the PCF of imyqspyjql:</w:t>
      </w:r>
    </w:p>
    <w:p>
      <w:pPr>
        <w:numPr>
          <w:ilvl w:val="0"/>
          <w:numId w:val="1012"/>
        </w:numPr>
        <w:pStyle w:val="Compact"/>
      </w:pPr>
      <w:r>
        <w:rPr>
          <w:bCs/>
          <w:b/>
        </w:rPr>
        <w:t xml:space="preserve">Material Optimization &amp; Supplier Engagement (High Impact):</w:t>
      </w:r>
    </w:p>
    <w:p>
      <w:pPr>
        <w:numPr>
          <w:ilvl w:val="1"/>
          <w:numId w:val="1013"/>
        </w:numPr>
        <w:pStyle w:val="Compact"/>
      </w:pPr>
      <w:r>
        <w:rPr>
          <w:bCs/>
          <w:b/>
        </w:rPr>
        <w:t xml:space="preserve">Battery Sourcing:</w:t>
      </w:r>
      <w:r>
        <w:t xml:space="preserve"> </w:t>
      </w:r>
      <w:r>
        <w:t xml:space="preserve">Investigate suppliers producing batteries with lower carbon footprints (e.g., using renewable energy in their manufacturing, optimized chemistries). Engage with battery manufacturers to explore design for disassembly and increased recycled content.</w:t>
      </w:r>
    </w:p>
    <w:p>
      <w:pPr>
        <w:numPr>
          <w:ilvl w:val="1"/>
          <w:numId w:val="1013"/>
        </w:numPr>
        <w:pStyle w:val="Compact"/>
      </w:pPr>
      <w:r>
        <w:rPr>
          <w:bCs/>
          <w:b/>
        </w:rPr>
        <w:t xml:space="preserve">Recycled Content:</w:t>
      </w:r>
      <w:r>
        <w:t xml:space="preserve"> </w:t>
      </w:r>
      <w:r>
        <w:t xml:space="preserve">Increase the percentage of recycled ABS plastic and other materials in the product and packaging where feasible, reducing reliance on virgin materials.</w:t>
      </w:r>
    </w:p>
    <w:p>
      <w:pPr>
        <w:numPr>
          <w:ilvl w:val="1"/>
          <w:numId w:val="1013"/>
        </w:numPr>
        <w:pStyle w:val="Compact"/>
      </w:pPr>
      <w:r>
        <w:rPr>
          <w:bCs/>
          <w:b/>
        </w:rPr>
        <w:t xml:space="preserve">Design for Durability:</w:t>
      </w:r>
      <w:r>
        <w:t xml:space="preserve"> </w:t>
      </w:r>
      <w:r>
        <w:t xml:space="preserve">Extend product lifespan beyond 3 years through modular design, repairability, and software updates to reduce the need for premature replacement.</w:t>
      </w:r>
    </w:p>
    <w:p>
      <w:pPr>
        <w:numPr>
          <w:ilvl w:val="0"/>
          <w:numId w:val="1012"/>
        </w:numPr>
        <w:pStyle w:val="Compact"/>
      </w:pPr>
      <w:r>
        <w:rPr>
          <w:bCs/>
          <w:b/>
        </w:rPr>
        <w:t xml:space="preserve">Enhance Renewable Energy Adoption in Manufacturing (Medium Impact):</w:t>
      </w:r>
    </w:p>
    <w:p>
      <w:pPr>
        <w:numPr>
          <w:ilvl w:val="1"/>
          <w:numId w:val="1014"/>
        </w:numPr>
        <w:pStyle w:val="Compact"/>
      </w:pPr>
      <w:r>
        <w:t xml:space="preserve">Continue to increase renewable energy procurement at manufacturing facilities in China beyond the current 60%. Explore on-site renewable energy generation or power purchase agreements (PPAs) for 100% renewable electricity.</w:t>
      </w:r>
    </w:p>
    <w:p>
      <w:pPr>
        <w:numPr>
          <w:ilvl w:val="0"/>
          <w:numId w:val="1012"/>
        </w:numPr>
        <w:pStyle w:val="Compact"/>
      </w:pPr>
      <w:r>
        <w:rPr>
          <w:bCs/>
          <w:b/>
        </w:rPr>
        <w:t xml:space="preserve">Optimize Use Phase Efficiency (High Impact):</w:t>
      </w:r>
    </w:p>
    <w:p>
      <w:pPr>
        <w:numPr>
          <w:ilvl w:val="1"/>
          <w:numId w:val="1015"/>
        </w:numPr>
        <w:pStyle w:val="Compact"/>
      </w:pPr>
      <w:r>
        <w:rPr>
          <w:bCs/>
          <w:b/>
        </w:rPr>
        <w:t xml:space="preserve">Energy Efficiency:</w:t>
      </w:r>
      <w:r>
        <w:t xml:space="preserve"> </w:t>
      </w:r>
      <w:r>
        <w:t xml:space="preserve">Design future iterations of imyqspyjql to be even more energy-efficient during its operational life. Provide users with clear information on low-carbon energy sources for charging/powering the device.</w:t>
      </w:r>
    </w:p>
    <w:p>
      <w:pPr>
        <w:numPr>
          <w:ilvl w:val="0"/>
          <w:numId w:val="1012"/>
        </w:numPr>
        <w:pStyle w:val="Compact"/>
      </w:pPr>
      <w:r>
        <w:rPr>
          <w:bCs/>
          <w:b/>
        </w:rPr>
        <w:t xml:space="preserve">Strengthen Circular Economy Programs (Medium Impact):</w:t>
      </w:r>
    </w:p>
    <w:p>
      <w:pPr>
        <w:numPr>
          <w:ilvl w:val="1"/>
          <w:numId w:val="1016"/>
        </w:numPr>
        <w:pStyle w:val="Compact"/>
      </w:pPr>
      <w:r>
        <w:t xml:space="preserve">Expand the existing product take-back program to ensure maximum recovery of materials, particularly valuable and high-impact components like batteries. Improve sorting and recycling infrastructure for collected products.</w:t>
      </w:r>
    </w:p>
    <w:p>
      <w:pPr>
        <w:numPr>
          <w:ilvl w:val="1"/>
          <w:numId w:val="1016"/>
        </w:numPr>
        <w:pStyle w:val="Compact"/>
      </w:pPr>
      <w:r>
        <w:t xml:space="preserve">Communicate the benefits and ease of participation in circular programs to customers to boost participation rates.</w:t>
      </w:r>
    </w:p>
    <w:p>
      <w:pPr>
        <w:numPr>
          <w:ilvl w:val="0"/>
          <w:numId w:val="1012"/>
        </w:numPr>
        <w:pStyle w:val="Compact"/>
      </w:pPr>
      <w:r>
        <w:rPr>
          <w:bCs/>
          <w:b/>
        </w:rPr>
        <w:t xml:space="preserve">Logistics Optimization (Lower Impact, but Continuous Improvement):</w:t>
      </w:r>
    </w:p>
    <w:p>
      <w:pPr>
        <w:numPr>
          <w:ilvl w:val="1"/>
          <w:numId w:val="1017"/>
        </w:numPr>
        <w:pStyle w:val="Compact"/>
      </w:pPr>
      <w:r>
        <w:t xml:space="preserve">Regularly review transport routes and modes for efficiency. Prioritize modes with lower emission factors where feasible (e.g., rail for European distribution instead of solely HGV for longer distances).</w:t>
      </w:r>
    </w:p>
    <w:p>
      <w:pPr>
        <w:numPr>
          <w:ilvl w:val="1"/>
          <w:numId w:val="1017"/>
        </w:numPr>
        <w:pStyle w:val="Compact"/>
      </w:pPr>
      <w:r>
        <w:t xml:space="preserve">Optimize loading efficiency to reduce the number of shipments.</w:t>
      </w:r>
    </w:p>
    <w:p>
      <w:pPr>
        <w:pStyle w:val="FirstParagraph"/>
      </w:pPr>
      <w:r>
        <w:t xml:space="preserve">By implementing these recommendations, rvspitsymg can significantly reduce the environmental impact of imyqspyjql and demonstrate strong leadership in sustainable product development.</w:t>
      </w:r>
    </w:p>
    <w:p>
      <w:r>
        <w:pict>
          <v:rect style="width:0;height:1.5pt" o:hralign="center" o:hrstd="t" o:hr="t"/>
        </w:pict>
      </w:r>
    </w:p>
    <w:p>
      <w:pPr>
        <w:pStyle w:val="FirstParagraph"/>
      </w:pPr>
      <w:r>
        <w:t xml:space="preserve">Confidential - Internal Use Only | Page</w:t>
      </w:r>
      <w:r>
        <w:t xml:space="preserve"> </w:t>
      </w:r>
      <w:r>
        <w:t xml:space="preserve">1</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imyqspyjql</dc:title>
  <dc:creator/>
  <dc:description>High-detail Product Carbon Footprint (PCF) analysis for product imyqspyjql by Senior Sustainability Consultant omppxymiqn for company rvspitsymg, adhering to GHG Protocol and 2026 LSR update.</dc:description>
  <dc:language>en</dc:language>
  <cp:keywords/>
  <dcterms:created xsi:type="dcterms:W3CDTF">2026-07-15T08:14:18Z</dcterms:created>
  <dcterms:modified xsi:type="dcterms:W3CDTF">2026-07-15T08:14:18Z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