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ilxwkixrpx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ilxwkixrpx</w:t>
      </w:r>
    </w:p>
    <w:p>
      <w:pPr>
        <w:pStyle w:val="BodyText"/>
      </w:pPr>
      <w:r>
        <w:rPr>
          <w:bCs/>
          <w:b/>
        </w:rPr>
        <w:t xml:space="preserve">Company Name:</w:t>
      </w:r>
      <w:r>
        <w:t xml:space="preserve"> </w:t>
      </w:r>
      <w:r>
        <w:t xml:space="preserve">sipoknmxzr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fezhjrieuw</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 This analysis provides a high-level assessment and should be used for informational purposes and strategic planning.</w:t>
      </w:r>
    </w:p>
    <w:bookmarkEnd w:id="20"/>
    <w:bookmarkStart w:id="21" w:name="X71791d1409d0ee5ea374142238ce5e2af17849d"/>
    <w:p>
      <w:pPr>
        <w:pStyle w:val="Heading1"/>
      </w:pPr>
      <w:r>
        <w:t xml:space="preserve">Product Carbon Footprint Report for ilxwkixrpx</w:t>
      </w:r>
    </w:p>
    <w:p>
      <w:pPr>
        <w:pStyle w:val="FirstParagraph"/>
      </w:pPr>
      <w:r>
        <w:t xml:space="preserve">Generated Date: May 18,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ilxwkixrpx</w:t>
      </w:r>
      <w:r>
        <w:t xml:space="preserve">, manufactured by</w:t>
      </w:r>
      <w:r>
        <w:t xml:space="preserve"> </w:t>
      </w:r>
      <w:r>
        <w:rPr>
          <w:bCs/>
          <w:b/>
        </w:rPr>
        <w:t xml:space="preserve">sipoknmxzr</w:t>
      </w:r>
      <w:r>
        <w:t xml:space="preserve">. The analysis, conducted by Senior Sustainability Consultant</w:t>
      </w:r>
      <w:r>
        <w:t xml:space="preserve"> </w:t>
      </w:r>
      <w:r>
        <w:rPr>
          <w:bCs/>
          <w:b/>
        </w:rPr>
        <w:t xml:space="preserve">fezhjrieuw</w:t>
      </w:r>
      <w:r>
        <w:t xml:space="preserve">, adheres strictly to the GHG Protocol accounting standards, incorporating the 2026 Land Sector and Removals (LSR) Update and ensuring robust Scope 3 compliance. The PCF quantifies the total greenhouse gas (GHG) emissions associated with the product\'s lifecycle, from raw material extraction through manufacturing, transportation, use, and end-of-life, expressed in kilograms of carbon dioxide equivalent (kg CO2e). Key hotspots and recommendations for emission reduction are identified to support sipoknmxzr\'s sustainability objectives.</w:t>
      </w:r>
    </w:p>
    <w:bookmarkEnd w:id="22"/>
    <w:p>
      <w:r>
        <w:pict>
          <v:rect style="width:0;height:1.5pt" o:hralign="center" o:hrstd="t" o:hr="t"/>
        </w:pict>
      </w:r>
    </w:p>
    <w:bookmarkStart w:id="24" w:name="methodology-and-scope-definition"/>
    <w:p>
      <w:pPr>
        <w:pStyle w:val="Heading2"/>
      </w:pPr>
      <w:r>
        <w:t xml:space="preserve">1. Methodology and Scope Definition</w:t>
      </w:r>
    </w:p>
    <w:p>
      <w:pPr>
        <w:pStyle w:val="FirstParagraph"/>
      </w:pPr>
      <w:r>
        <w:t xml:space="preserve">The Product Carbon Footprint (PCF) assessment for</w:t>
      </w:r>
      <w:r>
        <w:t xml:space="preserve"> </w:t>
      </w:r>
      <w:r>
        <w:rPr>
          <w:bCs/>
          <w:b/>
        </w:rPr>
        <w:t xml:space="preserve">ilxwkixrpx</w:t>
      </w:r>
      <w:r>
        <w:t xml:space="preserve"> </w:t>
      </w:r>
      <w:r>
        <w:t xml:space="preserve">follows the five-step methodology outlined below, strictly adhering to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assessment is 1.0 unit of the product ilxwkixrpx. This unit forms the reference basis for all quantified inputs and outputs.</w:t>
      </w:r>
    </w:p>
    <w:p>
      <w:pPr>
        <w:numPr>
          <w:ilvl w:val="0"/>
          <w:numId w:val="1001"/>
        </w:numPr>
        <w:pStyle w:val="Compact"/>
      </w:pPr>
      <w:r>
        <w:rPr>
          <w:bCs/>
          <w:b/>
        </w:rPr>
        <w:t xml:space="preserve">System Boundary:</w:t>
      </w:r>
      <w:r>
        <w:t xml:space="preserve"> </w:t>
      </w:r>
      <w:r>
        <w:t xml:space="preserve">The system boundary for this PCF analysis is defined as</w:t>
      </w:r>
      <w:r>
        <w:t xml:space="preserve"> </w:t>
      </w:r>
      <w:r>
        <w:rPr>
          <w:bCs/>
          <w:b/>
        </w:rPr>
        <w:t xml:space="preserve">"factory_gate"</w:t>
      </w:r>
      <w:r>
        <w:t xml:space="preserve">. This means the assessment covers all emissions from raw material acquisition, manufacturing processes up to the point the finished product leaves the factory gate. For comprehensive reporting as per 2026 requirements, relevant downstream (use and end-of-life) and upstream transport emissions have also been included as part of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potentially some component manufacturing, and use phase in Europe).</w:t>
      </w:r>
    </w:p>
    <w:p>
      <w:pPr>
        <w:numPr>
          <w:ilvl w:val="0"/>
          <w:numId w:val="1001"/>
        </w:numPr>
        <w:pStyle w:val="Compact"/>
      </w:pPr>
      <w:r>
        <w:rPr>
          <w:bCs/>
          <w:b/>
        </w:rPr>
        <w:t xml:space="preserve">Allocation:</w:t>
      </w:r>
      <w:r>
        <w:t xml:space="preserve"> </w:t>
      </w:r>
      <w:r>
        <w:t xml:space="preserve">For this single-product PCF, all environmental impacts are directly allocated to the functional unit. No co-product allocation rules were required.</w:t>
      </w:r>
    </w:p>
    <w:p>
      <w:pPr>
        <w:numPr>
          <w:ilvl w:val="0"/>
          <w:numId w:val="1001"/>
        </w:numPr>
        <w:pStyle w:val="Compact"/>
      </w:pPr>
      <w:r>
        <w:rPr>
          <w:bCs/>
          <w:b/>
        </w:rPr>
        <w:t xml:space="preserve">Accounting Standard:</w:t>
      </w:r>
      <w:r>
        <w:t xml:space="preserve"> </w:t>
      </w:r>
      <w:r>
        <w:t xml:space="preserve">This analysis rigorously follows the</w:t>
      </w:r>
      <w:r>
        <w:t xml:space="preserve"> </w:t>
      </w:r>
      <w:r>
        <w:rPr>
          <w:bCs/>
          <w:b/>
        </w:rPr>
        <w:t xml:space="preserve">GHG Protocol</w:t>
      </w:r>
      <w:r>
        <w:t xml:space="preserve"> </w:t>
      </w:r>
      <w:r>
        <w:t xml:space="preserve">Product Life Cycle Accounting and Reporting Standard.</w:t>
      </w:r>
    </w:p>
    <w:p>
      <w:pPr>
        <w:numPr>
          <w:ilvl w:val="0"/>
          <w:numId w:val="1001"/>
        </w:numPr>
        <w:pStyle w:val="Compact"/>
      </w:pPr>
      <w:r>
        <w:rPr>
          <w:bCs/>
          <w:b/>
        </w:rPr>
        <w:t xml:space="preserve">GHG Protocol Categorization:</w:t>
      </w:r>
      <w:r>
        <w:t xml:space="preserve"> </w:t>
      </w:r>
      <w:r>
        <w:t xml:space="preserve">Emissions are categorized into:</w:t>
      </w:r>
    </w:p>
    <w:p>
      <w:pPr>
        <w:numPr>
          <w:ilvl w:val="1"/>
          <w:numId w:val="1003"/>
        </w:numPr>
        <w:pStyle w:val="Compact"/>
      </w:pPr>
      <w:r>
        <w:rPr>
          <w:bCs/>
          <w:b/>
        </w:rPr>
        <w:t xml:space="preserve">Scope 1:</w:t>
      </w:r>
      <w:r>
        <w:t xml:space="preserve"> </w:t>
      </w:r>
      <w:r>
        <w:t xml:space="preserve">Direct GHG emissions from sources owned or controlled by sipoknmxzr (e.g., on-site fuel combustion).</w:t>
      </w:r>
    </w:p>
    <w:p>
      <w:pPr>
        <w:numPr>
          <w:ilvl w:val="1"/>
          <w:numId w:val="1003"/>
        </w:numPr>
        <w:pStyle w:val="Compact"/>
      </w:pPr>
      <w:r>
        <w:rPr>
          <w:bCs/>
          <w:b/>
        </w:rPr>
        <w:t xml:space="preserve">Scope 2:</w:t>
      </w:r>
      <w:r>
        <w:t xml:space="preserve"> </w:t>
      </w:r>
      <w:r>
        <w:t xml:space="preserve">Indirect GHG emissions from the generation of purchased electricity, steam, heating, or cooling consumed by sipoknmxzr.</w:t>
      </w:r>
    </w:p>
    <w:p>
      <w:pPr>
        <w:numPr>
          <w:ilvl w:val="1"/>
          <w:numId w:val="1003"/>
        </w:numPr>
        <w:pStyle w:val="Compact"/>
      </w:pPr>
      <w:r>
        <w:rPr>
          <w:bCs/>
          <w:b/>
        </w:rPr>
        <w:t xml:space="preserve">Scope 3:</w:t>
      </w:r>
      <w:r>
        <w:t xml:space="preserve"> </w:t>
      </w:r>
      <w:r>
        <w:t xml:space="preserve">All other indirect GHG emissions that occur in the value chain of sipoknmxzr, both upstream and downstream. This includes emissions from purchased goods and services (materials), transportation, product use, and end-of-life treatment.</w:t>
      </w:r>
    </w:p>
    <w:p>
      <w:pPr>
        <w:numPr>
          <w:ilvl w:val="0"/>
          <w:numId w:val="1001"/>
        </w:numPr>
        <w:pStyle w:val="Compact"/>
      </w:pPr>
      <w:r>
        <w:rPr>
          <w:bCs/>
          <w:b/>
        </w:rPr>
        <w:t xml:space="preserve">2026 LSR Update:</w:t>
      </w:r>
      <w:r>
        <w:t xml:space="preserve"> </w:t>
      </w:r>
      <w:r>
        <w:t xml:space="preserve">The Land Sector and Removals (LSR) Standard has been applied, acknowledging any land use change emissions or carbon removals within the product\'s value chain. Given the generic nature of product ilxwkixrpx and the provided BOM, direct land-use change impacts are considered negligible unless specific bio-based materials with known land-use change are identified. For this report, we assume no significant direct LSR impacts beyond the scope of material production factors.</w:t>
      </w:r>
    </w:p>
    <w:p>
      <w:pPr>
        <w:numPr>
          <w:ilvl w:val="0"/>
          <w:numId w:val="1001"/>
        </w:numPr>
        <w:pStyle w:val="Compact"/>
      </w:pPr>
      <w:r>
        <w:rPr>
          <w:bCs/>
          <w:b/>
        </w:rPr>
        <w:t xml:space="preserve">Scope 3 Compliance:</w:t>
      </w:r>
      <w:r>
        <w:t xml:space="preserve"> </w:t>
      </w:r>
      <w:r>
        <w:t xml:space="preserve">Every effort has been made to ensure at least 95% coverage for Scope 3 reporting, in line with 2026 GHG Protocol requirements, by including all material inputs, transportation, production energy, use-phase energy, and end-of-life impacts.</w:t>
      </w:r>
    </w:p>
    <w:bookmarkEnd w:id="23"/>
    <w:bookmarkEnd w:id="24"/>
    <w:p>
      <w:r>
        <w:pict>
          <v:rect style="width:0;height:1.5pt" o:hralign="center" o:hrstd="t" o:hr="t"/>
        </w:pict>
      </w:r>
    </w:p>
    <w:bookmarkStart w:id="31" w:name="X07cf0ea829f60a4f8fa47c00f72a11793fbe483"/>
    <w:p>
      <w:pPr>
        <w:pStyle w:val="Heading2"/>
      </w:pPr>
      <w:r>
        <w:t xml:space="preserve">2. Lifecycle Mapping (LCI Inventory Stages) &amp; 3. Data Collection</w:t>
      </w:r>
    </w:p>
    <w:p>
      <w:pPr>
        <w:pStyle w:val="FirstParagraph"/>
      </w:pPr>
      <w:r>
        <w:t xml:space="preserve">This section details the product lifecycle stages considered and the primary and secondary data points collected for the assessment of product</w:t>
      </w:r>
      <w:r>
        <w:t xml:space="preserve"> </w:t>
      </w:r>
      <w:r>
        <w:rPr>
          <w:bCs/>
          <w:b/>
        </w:rPr>
        <w:t xml:space="preserve">ilxwkixrpx</w:t>
      </w:r>
      <w:r>
        <w:t xml:space="preserve">.</w:t>
      </w:r>
    </w:p>
    <w:bookmarkStart w:id="25" w:name="detailed-bill-of-materials-bom-analysis"/>
    <w:p>
      <w:pPr>
        <w:pStyle w:val="Heading3"/>
      </w:pPr>
      <w:r>
        <w:t xml:space="preserve">2.1. Detailed Bill of Materials (BOM) Analysis</w:t>
      </w:r>
    </w:p>
    <w:p>
      <w:pPr>
        <w:pStyle w:val="FirstParagraph"/>
      </w:pPr>
      <w:r>
        <w:t xml:space="preserve">The following Bill of Materials (BOM) was used to calculate the material impact. The \'Total Carbon\' values are derived from the \'Qty\' and \'Emission Factor\'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C001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w:t>
            </w:r>
          </w:p>
        </w:tc>
      </w:tr>
      <w:tr>
        <w:tc>
          <w:tcPr/>
          <w:p>
            <w:pPr>
              <w:pStyle w:val="Compact"/>
              <w:jc w:val="left"/>
            </w:pPr>
            <w:r>
              <w:t xml:space="preserve">C002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3.0</w:t>
            </w:r>
          </w:p>
        </w:tc>
      </w:tr>
      <w:tr>
        <w:tc>
          <w:tcPr/>
          <w:p>
            <w:pPr>
              <w:pStyle w:val="Compact"/>
              <w:jc w:val="left"/>
            </w:pPr>
            <w:r>
              <w:t xml:space="preserve">C003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C004</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C005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7.5</w:t>
            </w:r>
          </w:p>
        </w:tc>
      </w:tr>
      <w:tr>
        <w:tc>
          <w:tcPr/>
          <w:p>
            <w:pPr>
              <w:pStyle w:val="Compact"/>
              <w:jc w:val="left"/>
            </w:pPr>
            <w:r>
              <w:t xml:space="preserve">C006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r>
        <w:tc>
          <w:tcPr>
            <w:gridSpan w:val="7"/>
          </w:tcPr>
          <w:p>
            <w:pPr>
              <w:pStyle w:val="Compact"/>
              <w:jc w:val="right"/>
            </w:pPr>
            <w:r>
              <w:rPr>
                <w:bCs/>
                <w:b/>
              </w:rPr>
              <w:t xml:space="preserve">Total Material Emissions:</w:t>
            </w:r>
          </w:p>
        </w:tc>
        <w:tc>
          <w:tcPr/>
          <w:p>
            <w:pPr>
              <w:pStyle w:val="Compact"/>
              <w:jc w:val="left"/>
            </w:pPr>
            <w:r>
              <w:rPr>
                <w:bCs/>
                <w:b/>
              </w:rPr>
              <w:t xml:space="preserve">26.4</w:t>
            </w:r>
          </w:p>
        </w:tc>
      </w:tr>
    </w:tbl>
    <w:bookmarkEnd w:id="25"/>
    <w:bookmarkStart w:id="26" w:name="energy-and-production-inputs"/>
    <w:p>
      <w:pPr>
        <w:pStyle w:val="Heading3"/>
      </w:pPr>
      <w:r>
        <w:t xml:space="preserve">2.2. Energy and Production Inputs</w:t>
      </w:r>
    </w:p>
    <w:p>
      <w:pPr>
        <w:numPr>
          <w:ilvl w:val="0"/>
          <w:numId w:val="1004"/>
        </w:numPr>
        <w:pStyle w:val="Compact"/>
      </w:pPr>
      <w:r>
        <w:rPr>
          <w:bCs/>
          <w:b/>
        </w:rPr>
        <w:t xml:space="preserve">Renewable Energy Usage (Production):</w:t>
      </w:r>
      <w:r>
        <w:t xml:space="preserve"> </w:t>
      </w:r>
      <w:r>
        <w:t xml:space="preserve">50% for purchased electricity. This significantly impacts Scope 2 emissions.</w:t>
      </w:r>
    </w:p>
    <w:p>
      <w:pPr>
        <w:numPr>
          <w:ilvl w:val="0"/>
          <w:numId w:val="1004"/>
        </w:numPr>
        <w:pStyle w:val="Compact"/>
      </w:pPr>
      <w:r>
        <w:rPr>
          <w:bCs/>
          <w:b/>
        </w:rPr>
        <w:t xml:space="preserve">Energy Intensity (Production - kWh/unit):</w:t>
      </w:r>
      <w:r>
        <w:t xml:space="preserve"> </w:t>
      </w:r>
      <w:r>
        <w:t xml:space="preserve">50 kWh/unit. This represents the electricity required to manufacture one unit of ilxwkixrpx.</w:t>
      </w:r>
    </w:p>
    <w:p>
      <w:pPr>
        <w:numPr>
          <w:ilvl w:val="0"/>
          <w:numId w:val="1004"/>
        </w:numPr>
        <w:pStyle w:val="Compact"/>
      </w:pPr>
      <w:r>
        <w:rPr>
          <w:bCs/>
          <w:b/>
        </w:rPr>
        <w:t xml:space="preserve">Direct Energy Consumption (Scope 1):</w:t>
      </w:r>
      <w:r>
        <w:t xml:space="preserve"> </w:t>
      </w:r>
      <w:r>
        <w:t xml:space="preserve">For this analysis, direct fuel combustion on-site is assumed to be minimal and integrated into general facility operations, or accounted for through grid electricity factors if a smaller percentage of electricity is generated on-site. For simplicity, Scope 1 emissions primarily refer to direct process emissions if any, and any direct fuel use not for electricity generation. Here, we\'ll assume negligible direct process emissions for ilxwkixrpx and focus on Scope 2 for production energy.</w:t>
      </w:r>
    </w:p>
    <w:bookmarkEnd w:id="26"/>
    <w:bookmarkStart w:id="27" w:name="logistics-data"/>
    <w:p>
      <w:pPr>
        <w:pStyle w:val="Heading3"/>
      </w:pPr>
      <w:r>
        <w:t xml:space="preserve">2.3. Logistics Data</w:t>
      </w:r>
    </w:p>
    <w:p>
      <w:pPr>
        <w:numPr>
          <w:ilvl w:val="0"/>
          <w:numId w:val="1005"/>
        </w:numPr>
        <w:pStyle w:val="Compact"/>
      </w:pPr>
      <w:r>
        <w:rPr>
          <w:bCs/>
          <w:b/>
        </w:rPr>
        <w:t xml:space="preserve">Transport Mode (from China to Europe):</w:t>
      </w:r>
      <w:r>
        <w:t xml:space="preserve"> </w:t>
      </w:r>
      <w:r>
        <w:t xml:space="preserve">Ocean Freight. This covers the primary long-haul transportation.</w:t>
      </w:r>
    </w:p>
    <w:p>
      <w:pPr>
        <w:numPr>
          <w:ilvl w:val="0"/>
          <w:numId w:val="1005"/>
        </w:numPr>
        <w:pStyle w:val="Compact"/>
      </w:pPr>
      <w:r>
        <w:rPr>
          <w:bCs/>
          <w:b/>
        </w:rPr>
        <w:t xml:space="preserve">Transport Distance:</w:t>
      </w:r>
      <w:r>
        <w:t xml:space="preserve"> </w:t>
      </w:r>
      <w:r>
        <w:t xml:space="preserve">10,000 km.</w:t>
      </w:r>
    </w:p>
    <w:p>
      <w:pPr>
        <w:numPr>
          <w:ilvl w:val="0"/>
          <w:numId w:val="1005"/>
        </w:numPr>
        <w:pStyle w:val="Compact"/>
      </w:pPr>
      <w:r>
        <w:rPr>
          <w:bCs/>
          <w:b/>
        </w:rPr>
        <w:t xml:space="preserve">Last-Mile Delivery Channel (within Europe):</w:t>
      </w:r>
      <w:r>
        <w:t xml:space="preserve"> </w:t>
      </w:r>
      <w:r>
        <w:t xml:space="preserve">Road - Heavy-Duty Truck.</w:t>
      </w:r>
    </w:p>
    <w:p>
      <w:pPr>
        <w:numPr>
          <w:ilvl w:val="0"/>
          <w:numId w:val="1005"/>
        </w:numPr>
        <w:pStyle w:val="Compact"/>
      </w:pPr>
      <w:r>
        <w:rPr>
          <w:bCs/>
          <w:b/>
        </w:rPr>
        <w:t xml:space="preserve">Last-Mile Delivery Distance (Assumed):</w:t>
      </w:r>
      <w:r>
        <w:t xml:space="preserve"> </w:t>
      </w:r>
      <w:r>
        <w:t xml:space="preserve">500 km.</w:t>
      </w:r>
    </w:p>
    <w:p>
      <w:pPr>
        <w:numPr>
          <w:ilvl w:val="0"/>
          <w:numId w:val="1005"/>
        </w:numPr>
        <w:pStyle w:val="Compact"/>
      </w:pPr>
      <w:r>
        <w:rPr>
          <w:bCs/>
          <w:b/>
        </w:rPr>
        <w:t xml:space="preserve">Product Weight (Assumed for Transport):</w:t>
      </w:r>
      <w:r>
        <w:t xml:space="preserve"> </w:t>
      </w:r>
      <w:r>
        <w:t xml:space="preserve">3.4 kg (Sum of material quantities from BOM: 1.5+0.2+0.1+0.8+0.3+0.5 = 3.4 kg).</w:t>
      </w:r>
    </w:p>
    <w:bookmarkEnd w:id="27"/>
    <w:bookmarkStart w:id="28"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 (per year):</w:t>
      </w:r>
      <w:r>
        <w:t xml:space="preserve"> </w:t>
      </w:r>
      <w:r>
        <w:t xml:space="preserve">10 kWh/year.</w:t>
      </w:r>
    </w:p>
    <w:p>
      <w:pPr>
        <w:numPr>
          <w:ilvl w:val="0"/>
          <w:numId w:val="1006"/>
        </w:numPr>
        <w:pStyle w:val="Compact"/>
      </w:pPr>
      <w:r>
        <w:rPr>
          <w:bCs/>
          <w:b/>
        </w:rPr>
        <w:t xml:space="preserve">Grid Electricity Emission Factor (Use Phase - Europe Average):</w:t>
      </w:r>
      <w:r>
        <w:t xml:space="preserve"> </w:t>
      </w:r>
      <w:r>
        <w:t xml:space="preserve">0.288 kg CO2e/kWh.</w:t>
      </w:r>
    </w:p>
    <w:bookmarkEnd w:id="28"/>
    <w:bookmarkStart w:id="29"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70%. This represents the portion of the product that can be recycled.</w:t>
      </w:r>
    </w:p>
    <w:p>
      <w:pPr>
        <w:numPr>
          <w:ilvl w:val="0"/>
          <w:numId w:val="1007"/>
        </w:numPr>
        <w:pStyle w:val="Compact"/>
      </w:pPr>
      <w:r>
        <w:rPr>
          <w:bCs/>
          <w:b/>
        </w:rPr>
        <w:t xml:space="preserve">Circular/Take-back Programs:</w:t>
      </w:r>
      <w:r>
        <w:t xml:space="preserve"> </w:t>
      </w:r>
      <w:r>
        <w:t xml:space="preserve">Yes, Product Refurbishment Program. While this contributes to circularity, the PCF focuses on the initial product\'s lifecycle and EoL for the primary product. Avoided emissions from refurbishment are not included in this single PCF but would be in a wider circular economy assessment.</w:t>
      </w:r>
    </w:p>
    <w:p>
      <w:pPr>
        <w:numPr>
          <w:ilvl w:val="0"/>
          <w:numId w:val="1007"/>
        </w:numPr>
        <w:pStyle w:val="Compact"/>
      </w:pPr>
      <w:r>
        <w:rPr>
          <w:bCs/>
          <w:b/>
        </w:rPr>
        <w:t xml:space="preserve">Non-Recycled Waste:</w:t>
      </w:r>
      <w:r>
        <w:t xml:space="preserve"> </w:t>
      </w:r>
      <w:r>
        <w:t xml:space="preserve">30% of product weight assumed for landfill/incineration.</w:t>
      </w:r>
    </w:p>
    <w:p>
      <w:pPr>
        <w:numPr>
          <w:ilvl w:val="0"/>
          <w:numId w:val="1007"/>
        </w:numPr>
        <w:pStyle w:val="Compact"/>
      </w:pPr>
      <w:r>
        <w:rPr>
          <w:bCs/>
          <w:b/>
        </w:rPr>
        <w:t xml:space="preserve">EoL Emission Factor (Non-Recycled):</w:t>
      </w:r>
      <w:r>
        <w:t xml:space="preserve"> </w:t>
      </w:r>
      <w:r>
        <w:t xml:space="preserve">Assumed 0.5 kg CO2e/kg (for mixed waste treatment).</w:t>
      </w:r>
    </w:p>
    <w:bookmarkEnd w:id="29"/>
    <w:bookmarkStart w:id="30" w:name="emission-factors-used-secondary-data"/>
    <w:p>
      <w:pPr>
        <w:pStyle w:val="Heading3"/>
      </w:pPr>
      <w:r>
        <w:t xml:space="preserve">2.6. Emission Factors Used (Secondary Data)</w:t>
      </w:r>
    </w:p>
    <w:p>
      <w:pPr>
        <w:pStyle w:val="FirstParagraph"/>
      </w:pPr>
      <w:r>
        <w:t xml:space="preserve">Emission factors for specific materials, energy, and transportation modes are sourced from industry-standard databases, conceptually aligned with Ecoinvent and DEFRA data.</w:t>
      </w:r>
    </w:p>
    <w:p>
      <w:pPr>
        <w:numPr>
          <w:ilvl w:val="0"/>
          <w:numId w:val="1008"/>
        </w:numPr>
        <w:pStyle w:val="Compact"/>
      </w:pPr>
      <w:r>
        <w:t xml:space="preserve">China Grid Electricity Emission Factor: 0.6205 kg CO2e/kWh.</w:t>
      </w:r>
    </w:p>
    <w:p>
      <w:pPr>
        <w:numPr>
          <w:ilvl w:val="0"/>
          <w:numId w:val="1008"/>
        </w:numPr>
        <w:pStyle w:val="Compact"/>
      </w:pPr>
      <w:r>
        <w:t xml:space="preserve">Europe Average Grid Electricity Emission Factor: 0.288 kg CO2e/kWh.</w:t>
      </w:r>
    </w:p>
    <w:p>
      <w:pPr>
        <w:numPr>
          <w:ilvl w:val="0"/>
          <w:numId w:val="1008"/>
        </w:numPr>
        <w:pStyle w:val="Compact"/>
      </w:pPr>
      <w:r>
        <w:t xml:space="preserve">Ocean Freight Emission Factor: 0.016 kg CO2e/tonne-km.</w:t>
      </w:r>
    </w:p>
    <w:p>
      <w:pPr>
        <w:numPr>
          <w:ilvl w:val="0"/>
          <w:numId w:val="1008"/>
        </w:numPr>
        <w:pStyle w:val="Compact"/>
      </w:pPr>
      <w:r>
        <w:t xml:space="preserve">Heavy-Duty Truck Emission Factor (Europe): 0.0565 kg CO2e/tonne-km.</w:t>
      </w:r>
    </w:p>
    <w:bookmarkEnd w:id="30"/>
    <w:bookmarkEnd w:id="31"/>
    <w:p>
      <w:r>
        <w:pict>
          <v:rect style="width:0;height:1.5pt" o:hralign="center" o:hrstd="t" o:hr="t"/>
        </w:pict>
      </w:r>
    </w:p>
    <w:bookmarkStart w:id="38" w:name="X439a6e6dcb43c636bf515ffaf3f59bce0bd6490"/>
    <w:p>
      <w:pPr>
        <w:pStyle w:val="Heading2"/>
      </w:pPr>
      <w:r>
        <w:t xml:space="preserve">4. Emission Calculation (Activity * Emission Factor = CO2e)</w:t>
      </w:r>
    </w:p>
    <w:p>
      <w:pPr>
        <w:pStyle w:val="FirstParagraph"/>
      </w:pPr>
      <w:r>
        <w:t xml:space="preserve">The total Product Carbon Footprint is calculated by summing emissions from each lifecycle stage, categorized according to the GHG Protocol.</w:t>
      </w:r>
    </w:p>
    <w:bookmarkStart w:id="32" w:name="X93b36252fa8db9039d2fc40336b411caee63579"/>
    <w:p>
      <w:pPr>
        <w:pStyle w:val="Heading3"/>
      </w:pPr>
      <w:r>
        <w:t xml:space="preserve">4.1. Scope 1 Emissions (Direct Emissions from Production)</w:t>
      </w:r>
    </w:p>
    <w:p>
      <w:pPr>
        <w:pStyle w:val="FirstParagraph"/>
      </w:pPr>
      <w:r>
        <w:t xml:space="preserve">For product ilxwkixrpx, direct Scope 1 emissions from on-site fuel combustion or direct process emissions not related to purchased electricity are assumed to be negligible for the functional unit within the factory gate boundary for this analysis.</w:t>
      </w:r>
    </w:p>
    <w:p>
      <w:pPr>
        <w:numPr>
          <w:ilvl w:val="0"/>
          <w:numId w:val="1009"/>
        </w:numPr>
        <w:pStyle w:val="Compact"/>
      </w:pPr>
      <w:r>
        <w:rPr>
          <w:bCs/>
          <w:b/>
        </w:rPr>
        <w:t xml:space="preserve">Calculated Scope 1 Emissions:</w:t>
      </w:r>
      <w:r>
        <w:t xml:space="preserve"> </w:t>
      </w:r>
      <w:r>
        <w:t xml:space="preserve">0.0 kg CO2e</w:t>
      </w:r>
    </w:p>
    <w:bookmarkEnd w:id="32"/>
    <w:bookmarkStart w:id="33" w:name="Xdcb69c89a2d5b7d56bbdc01f79a116e1def7079"/>
    <w:p>
      <w:pPr>
        <w:pStyle w:val="Heading3"/>
      </w:pPr>
      <w:r>
        <w:t xml:space="preserve">4.2. Scope 2 Emissions (Purchased Electricity for Production)</w:t>
      </w:r>
    </w:p>
    <w:p>
      <w:pPr>
        <w:pStyle w:val="FirstParagraph"/>
      </w:pPr>
      <w:r>
        <w:t xml:space="preserve">Emissions from purchased electricity for the manufacturing process at the China facility.</w:t>
      </w:r>
    </w:p>
    <w:p>
      <w:pPr>
        <w:numPr>
          <w:ilvl w:val="0"/>
          <w:numId w:val="1010"/>
        </w:numPr>
        <w:pStyle w:val="Compact"/>
      </w:pPr>
      <w:r>
        <w:t xml:space="preserve">Energy Intensity: 50 kWh/unit</w:t>
      </w:r>
    </w:p>
    <w:p>
      <w:pPr>
        <w:numPr>
          <w:ilvl w:val="0"/>
          <w:numId w:val="1010"/>
        </w:numPr>
        <w:pStyle w:val="Compact"/>
      </w:pPr>
      <w:r>
        <w:t xml:space="preserve">Renewable Energy Usage: 50%</w:t>
      </w:r>
    </w:p>
    <w:p>
      <w:pPr>
        <w:numPr>
          <w:ilvl w:val="0"/>
          <w:numId w:val="1010"/>
        </w:numPr>
        <w:pStyle w:val="Compact"/>
      </w:pPr>
      <w:r>
        <w:t xml:space="preserve">Non-Renewable Energy: 50 kWh/unit * (1 - 0.50) = 25 kWh/unit</w:t>
      </w:r>
    </w:p>
    <w:p>
      <w:pPr>
        <w:numPr>
          <w:ilvl w:val="0"/>
          <w:numId w:val="1010"/>
        </w:numPr>
        <w:pStyle w:val="Compact"/>
      </w:pPr>
      <w:r>
        <w:t xml:space="preserve">China Grid EF: 0.6205 kg CO2e/kWh</w:t>
      </w:r>
    </w:p>
    <w:p>
      <w:pPr>
        <w:numPr>
          <w:ilvl w:val="0"/>
          <w:numId w:val="1010"/>
        </w:numPr>
        <w:pStyle w:val="Compact"/>
      </w:pPr>
      <w:r>
        <w:rPr>
          <w:bCs/>
          <w:b/>
        </w:rPr>
        <w:t xml:space="preserve">Calculated Scope 2 Emissions:</w:t>
      </w:r>
      <w:r>
        <w:t xml:space="preserve"> </w:t>
      </w:r>
      <w:r>
        <w:t xml:space="preserve">25 kWh/unit * 0.6205 kg CO2e/kWh = 15.5125 kg CO2e</w:t>
      </w:r>
    </w:p>
    <w:bookmarkEnd w:id="33"/>
    <w:bookmarkStart w:id="36" w:name="scope-3-emissions-value-chain-emissions"/>
    <w:p>
      <w:pPr>
        <w:pStyle w:val="Heading3"/>
      </w:pPr>
      <w:r>
        <w:t xml:space="preserve">4.3. Scope 3 Emissions (Value Chain Emissions)</w:t>
      </w:r>
    </w:p>
    <w:bookmarkStart w:id="34" w:name="upstream-emissions"/>
    <w:p>
      <w:pPr>
        <w:pStyle w:val="Heading4"/>
      </w:pPr>
      <w:r>
        <w:t xml:space="preserve">4.3.1. Upstream Emissions</w:t>
      </w:r>
    </w:p>
    <w:p>
      <w:pPr>
        <w:pStyle w:val="FirstParagraph"/>
      </w:pPr>
      <w:r>
        <w:t xml:space="preserve">These include emissions from purchased materials and upstream transportation.</w:t>
      </w:r>
    </w:p>
    <w:p>
      <w:pPr>
        <w:numPr>
          <w:ilvl w:val="0"/>
          <w:numId w:val="1011"/>
        </w:numPr>
        <w:pStyle w:val="Compact"/>
      </w:pPr>
      <w:r>
        <w:rPr>
          <w:bCs/>
          <w:b/>
        </w:rPr>
        <w:t xml:space="preserve">Materials (Category 1: Purchased Goods and Services):</w:t>
      </w:r>
    </w:p>
    <w:p>
      <w:pPr>
        <w:numPr>
          <w:ilvl w:val="1"/>
          <w:numId w:val="1012"/>
        </w:numPr>
        <w:pStyle w:val="Compact"/>
      </w:pPr>
      <w:r>
        <w:t xml:space="preserve">Total Material Emissions (from BOM): 26.4 kg CO2e</w:t>
      </w:r>
    </w:p>
    <w:p>
      <w:pPr>
        <w:numPr>
          <w:ilvl w:val="0"/>
          <w:numId w:val="1011"/>
        </w:numPr>
        <w:pStyle w:val="Compact"/>
      </w:pPr>
      <w:r>
        <w:rPr>
          <w:bCs/>
          <w:b/>
        </w:rPr>
        <w:t xml:space="preserve">Transport (Category 4: Upstream Transportation and Distribution - Main Haul):</w:t>
      </w:r>
    </w:p>
    <w:p>
      <w:pPr>
        <w:numPr>
          <w:ilvl w:val="1"/>
          <w:numId w:val="1013"/>
        </w:numPr>
        <w:pStyle w:val="Compact"/>
      </w:pPr>
      <w:r>
        <w:t xml:space="preserve">Product Weight: 3.4 kg (0.0034 tonnes)</w:t>
      </w:r>
    </w:p>
    <w:p>
      <w:pPr>
        <w:numPr>
          <w:ilvl w:val="1"/>
          <w:numId w:val="1013"/>
        </w:numPr>
        <w:pStyle w:val="Compact"/>
      </w:pPr>
      <w:r>
        <w:t xml:space="preserve">Ocean Freight Distance: 10,000 km</w:t>
      </w:r>
    </w:p>
    <w:p>
      <w:pPr>
        <w:numPr>
          <w:ilvl w:val="1"/>
          <w:numId w:val="1013"/>
        </w:numPr>
        <w:pStyle w:val="Compact"/>
      </w:pPr>
      <w:r>
        <w:t xml:space="preserve">Ocean Freight EF: 0.016 kg CO2e/tonne-km</w:t>
      </w:r>
    </w:p>
    <w:p>
      <w:pPr>
        <w:numPr>
          <w:ilvl w:val="1"/>
          <w:numId w:val="1013"/>
        </w:numPr>
        <w:pStyle w:val="Compact"/>
      </w:pPr>
      <w:r>
        <w:rPr>
          <w:bCs/>
          <w:b/>
        </w:rPr>
        <w:t xml:space="preserve">Ocean Freight Emissions:</w:t>
      </w:r>
      <w:r>
        <w:t xml:space="preserve"> </w:t>
      </w:r>
      <w:r>
        <w:t xml:space="preserve">0.0034 tonnes * 10,000 km * 0.016 kg CO2e/tonne-km = 0.544 kg CO2e</w:t>
      </w:r>
    </w:p>
    <w:p>
      <w:pPr>
        <w:numPr>
          <w:ilvl w:val="0"/>
          <w:numId w:val="1011"/>
        </w:numPr>
        <w:pStyle w:val="Compact"/>
      </w:pPr>
      <w:r>
        <w:rPr>
          <w:bCs/>
          <w:b/>
        </w:rPr>
        <w:t xml:space="preserve">Total Upstream Scope 3 Emissions:</w:t>
      </w:r>
      <w:r>
        <w:t xml:space="preserve"> </w:t>
      </w:r>
      <w:r>
        <w:t xml:space="preserve">26.4 kg CO2e (Materials) + 0.544 kg CO2e (Ocean Freight) = 26.944 kg CO2e</w:t>
      </w:r>
    </w:p>
    <w:bookmarkEnd w:id="34"/>
    <w:bookmarkStart w:id="35" w:name="downstream-emissions"/>
    <w:p>
      <w:pPr>
        <w:pStyle w:val="Heading4"/>
      </w:pPr>
      <w:r>
        <w:t xml:space="preserve">4.3.2. Downstream Emissions</w:t>
      </w:r>
    </w:p>
    <w:p>
      <w:pPr>
        <w:pStyle w:val="FirstParagraph"/>
      </w:pPr>
      <w:r>
        <w:t xml:space="preserve">These include emissions from product use and end-of-life treatment.</w:t>
      </w:r>
    </w:p>
    <w:p>
      <w:pPr>
        <w:numPr>
          <w:ilvl w:val="0"/>
          <w:numId w:val="1014"/>
        </w:numPr>
        <w:pStyle w:val="Compact"/>
      </w:pPr>
      <w:r>
        <w:rPr>
          <w:bCs/>
          <w:b/>
        </w:rPr>
        <w:t xml:space="preserve">Use Phase (Category 11: Use of Sold Products):</w:t>
      </w:r>
    </w:p>
    <w:p>
      <w:pPr>
        <w:numPr>
          <w:ilvl w:val="1"/>
          <w:numId w:val="1015"/>
        </w:numPr>
        <w:pStyle w:val="Compact"/>
      </w:pPr>
      <w:r>
        <w:t xml:space="preserve">Product Lifespan: 5 years</w:t>
      </w:r>
    </w:p>
    <w:p>
      <w:pPr>
        <w:numPr>
          <w:ilvl w:val="1"/>
          <w:numId w:val="1015"/>
        </w:numPr>
        <w:pStyle w:val="Compact"/>
      </w:pPr>
      <w:r>
        <w:t xml:space="preserve">Energy Consumption in Use: 10 kWh/year</w:t>
      </w:r>
    </w:p>
    <w:p>
      <w:pPr>
        <w:numPr>
          <w:ilvl w:val="1"/>
          <w:numId w:val="1015"/>
        </w:numPr>
        <w:pStyle w:val="Compact"/>
      </w:pPr>
      <w:r>
        <w:t xml:space="preserve">Total Energy Consumption: 10 kWh/year * 5 years = 50 kWh</w:t>
      </w:r>
    </w:p>
    <w:p>
      <w:pPr>
        <w:numPr>
          <w:ilvl w:val="1"/>
          <w:numId w:val="1015"/>
        </w:numPr>
        <w:pStyle w:val="Compact"/>
      </w:pPr>
      <w:r>
        <w:t xml:space="preserve">Europe Average Grid EF: 0.288 kg CO2e/kWh</w:t>
      </w:r>
    </w:p>
    <w:p>
      <w:pPr>
        <w:numPr>
          <w:ilvl w:val="1"/>
          <w:numId w:val="1015"/>
        </w:numPr>
        <w:pStyle w:val="Compact"/>
      </w:pPr>
      <w:r>
        <w:rPr>
          <w:bCs/>
          <w:b/>
        </w:rPr>
        <w:t xml:space="preserve">Use Phase Emissions:</w:t>
      </w:r>
      <w:r>
        <w:t xml:space="preserve"> </w:t>
      </w:r>
      <w:r>
        <w:t xml:space="preserve">50 kWh * 0.288 kg CO2e/kWh = 14.4 kg CO2e</w:t>
      </w:r>
    </w:p>
    <w:p>
      <w:pPr>
        <w:numPr>
          <w:ilvl w:val="0"/>
          <w:numId w:val="1014"/>
        </w:numPr>
        <w:pStyle w:val="Compact"/>
      </w:pPr>
      <w:r>
        <w:rPr>
          <w:bCs/>
          <w:b/>
        </w:rPr>
        <w:t xml:space="preserve">End-of-Life (Category 12: End-of-Life Treatment of Sold Products):</w:t>
      </w:r>
    </w:p>
    <w:p>
      <w:pPr>
        <w:numPr>
          <w:ilvl w:val="1"/>
          <w:numId w:val="1016"/>
        </w:numPr>
        <w:pStyle w:val="Compact"/>
      </w:pPr>
      <w:r>
        <w:t xml:space="preserve">Product Weight: 3.4 kg</w:t>
      </w:r>
    </w:p>
    <w:p>
      <w:pPr>
        <w:numPr>
          <w:ilvl w:val="1"/>
          <w:numId w:val="1016"/>
        </w:numPr>
        <w:pStyle w:val="Compact"/>
      </w:pPr>
      <w:r>
        <w:t xml:space="preserve">Recyclability Percentage: 70%</w:t>
      </w:r>
    </w:p>
    <w:p>
      <w:pPr>
        <w:numPr>
          <w:ilvl w:val="1"/>
          <w:numId w:val="1016"/>
        </w:numPr>
        <w:pStyle w:val="Compact"/>
      </w:pPr>
      <w:r>
        <w:t xml:space="preserve">Non-Recycled Portion: 3.4 kg * (1 - 0.70) = 1.02 kg</w:t>
      </w:r>
    </w:p>
    <w:p>
      <w:pPr>
        <w:numPr>
          <w:ilvl w:val="1"/>
          <w:numId w:val="1016"/>
        </w:numPr>
        <w:pStyle w:val="Compact"/>
      </w:pPr>
      <w:r>
        <w:t xml:space="preserve">EoL Emission Factor (Non-Recycled): 0.5 kg CO2e/kg (assumed)</w:t>
      </w:r>
    </w:p>
    <w:p>
      <w:pPr>
        <w:numPr>
          <w:ilvl w:val="1"/>
          <w:numId w:val="1016"/>
        </w:numPr>
        <w:pStyle w:val="Compact"/>
      </w:pPr>
      <w:r>
        <w:rPr>
          <w:bCs/>
          <w:b/>
        </w:rPr>
        <w:t xml:space="preserve">End-of-Life Emissions:</w:t>
      </w:r>
      <w:r>
        <w:t xml:space="preserve"> </w:t>
      </w:r>
      <w:r>
        <w:t xml:space="preserve">1.02 kg * 0.5 kg CO2e/kg = 0.51 kg CO2e</w:t>
      </w:r>
    </w:p>
    <w:p>
      <w:pPr>
        <w:numPr>
          <w:ilvl w:val="0"/>
          <w:numId w:val="1014"/>
        </w:numPr>
        <w:pStyle w:val="Compact"/>
      </w:pPr>
      <w:r>
        <w:rPr>
          <w:bCs/>
          <w:b/>
        </w:rPr>
        <w:t xml:space="preserve">Transport (Category 9: Downstream Transportation and Distribution - Last Mile):</w:t>
      </w:r>
    </w:p>
    <w:p>
      <w:pPr>
        <w:numPr>
          <w:ilvl w:val="1"/>
          <w:numId w:val="1017"/>
        </w:numPr>
        <w:pStyle w:val="Compact"/>
      </w:pPr>
      <w:r>
        <w:t xml:space="preserve">Product Weight: 3.4 kg (0.0034 tonnes)</w:t>
      </w:r>
    </w:p>
    <w:p>
      <w:pPr>
        <w:numPr>
          <w:ilvl w:val="1"/>
          <w:numId w:val="1017"/>
        </w:numPr>
        <w:pStyle w:val="Compact"/>
      </w:pPr>
      <w:r>
        <w:t xml:space="preserve">Last-Mile Distance: 500 km</w:t>
      </w:r>
    </w:p>
    <w:p>
      <w:pPr>
        <w:numPr>
          <w:ilvl w:val="1"/>
          <w:numId w:val="1017"/>
        </w:numPr>
        <w:pStyle w:val="Compact"/>
      </w:pPr>
      <w:r>
        <w:t xml:space="preserve">Heavy-Duty Truck EF: 0.0565 kg CO2e/tonne-km</w:t>
      </w:r>
    </w:p>
    <w:p>
      <w:pPr>
        <w:numPr>
          <w:ilvl w:val="1"/>
          <w:numId w:val="1017"/>
        </w:numPr>
        <w:pStyle w:val="Compact"/>
      </w:pPr>
      <w:r>
        <w:rPr>
          <w:bCs/>
          <w:b/>
        </w:rPr>
        <w:t xml:space="preserve">Last-Mile Transport Emissions:</w:t>
      </w:r>
      <w:r>
        <w:t xml:space="preserve"> </w:t>
      </w:r>
      <w:r>
        <w:t xml:space="preserve">0.0034 tonnes * 500 km * 0.0565 kg CO2e/tonne-km = 0.09605 kg CO2e</w:t>
      </w:r>
    </w:p>
    <w:p>
      <w:pPr>
        <w:numPr>
          <w:ilvl w:val="0"/>
          <w:numId w:val="1014"/>
        </w:numPr>
        <w:pStyle w:val="Compact"/>
      </w:pPr>
      <w:r>
        <w:rPr>
          <w:bCs/>
          <w:b/>
        </w:rPr>
        <w:t xml:space="preserve">Total Downstream Scope 3 Emissions:</w:t>
      </w:r>
      <w:r>
        <w:t xml:space="preserve"> </w:t>
      </w:r>
      <w:r>
        <w:t xml:space="preserve">14.4 kg CO2e (Use Phase) + 0.51 kg CO2e (EoL) + 0.09605 kg CO2e (Last-Mile Transport) = 15.00605 kg CO2e</w:t>
      </w:r>
    </w:p>
    <w:bookmarkEnd w:id="35"/>
    <w:bookmarkEnd w:id="36"/>
    <w:bookmarkStart w:id="37" w:name="total-product-carbon-footprint"/>
    <w:p>
      <w:pPr>
        <w:pStyle w:val="Heading3"/>
      </w:pPr>
      <w:r>
        <w:t xml:space="preserve">4.4. Total Product Carbon Footprint</w:t>
      </w:r>
    </w:p>
    <w:p>
      <w:pPr>
        <w:pStyle w:val="FirstParagraph"/>
      </w:pPr>
      <w:r>
        <w:t xml:space="preserve">Summation of all Scope 1, Scope 2, and Scope 3 emissions.</w:t>
      </w:r>
    </w:p>
    <w:p>
      <w:pPr>
        <w:numPr>
          <w:ilvl w:val="0"/>
          <w:numId w:val="1018"/>
        </w:numPr>
        <w:pStyle w:val="Compact"/>
      </w:pPr>
      <w:r>
        <w:t xml:space="preserve">Total Scope 1 Emissions: 0.0 kg CO2e</w:t>
      </w:r>
    </w:p>
    <w:p>
      <w:pPr>
        <w:numPr>
          <w:ilvl w:val="0"/>
          <w:numId w:val="1018"/>
        </w:numPr>
        <w:pStyle w:val="Compact"/>
      </w:pPr>
      <w:r>
        <w:t xml:space="preserve">Total Scope 2 Emissions: 15.5125 kg CO2e</w:t>
      </w:r>
    </w:p>
    <w:p>
      <w:pPr>
        <w:numPr>
          <w:ilvl w:val="0"/>
          <w:numId w:val="1018"/>
        </w:numPr>
        <w:pStyle w:val="Compact"/>
      </w:pPr>
      <w:r>
        <w:t xml:space="preserve">Total Scope 3 Emissions: 26.944 kg CO2e (Upstream) + 15.00605 kg CO2e (Downstream) = 41.95005 kg CO2e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Emission Scope</w:t>
            </w:r>
          </w:p>
        </w:tc>
        <w:tc>
          <w:tcPr/>
          <w:p>
            <w:pPr>
              <w:pStyle w:val="Compact"/>
              <w:jc w:val="left"/>
            </w:pPr>
            <w:r>
              <w:t xml:space="preserve">Total Emissions (kg CO2e)</w:t>
            </w:r>
          </w:p>
        </w:tc>
      </w:tr>
      <w:tr>
        <w:tc>
          <w:tcPr/>
          <w:p>
            <w:pPr>
              <w:pStyle w:val="Compact"/>
              <w:jc w:val="left"/>
            </w:pPr>
            <w:r>
              <w:t xml:space="preserve">Scope 1 (Direct from Production)</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15.51</w:t>
            </w:r>
          </w:p>
        </w:tc>
      </w:tr>
      <w:tr>
        <w:tc>
          <w:tcPr/>
          <w:p>
            <w:pPr>
              <w:pStyle w:val="Compact"/>
              <w:jc w:val="left"/>
            </w:pPr>
            <w:r>
              <w:t xml:space="preserve">Scope 3 Upstream (Materials &amp; Main Transport)</w:t>
            </w:r>
          </w:p>
        </w:tc>
        <w:tc>
          <w:tcPr/>
          <w:p>
            <w:pPr>
              <w:pStyle w:val="Compact"/>
              <w:jc w:val="left"/>
            </w:pPr>
            <w:r>
              <w:t xml:space="preserve">26.94</w:t>
            </w:r>
          </w:p>
        </w:tc>
      </w:tr>
      <w:tr>
        <w:tc>
          <w:tcPr/>
          <w:p>
            <w:pPr>
              <w:pStyle w:val="Compact"/>
              <w:jc w:val="left"/>
            </w:pPr>
            <w:r>
              <w:t xml:space="preserve">Scope 3 Downstream (Use Phase, EoL &amp; Last-Mile Transport)</w:t>
            </w:r>
          </w:p>
        </w:tc>
        <w:tc>
          <w:tcPr/>
          <w:p>
            <w:pPr>
              <w:pStyle w:val="Compact"/>
              <w:jc w:val="left"/>
            </w:pPr>
            <w:r>
              <w:t xml:space="preserve">15.01</w:t>
            </w:r>
          </w:p>
        </w:tc>
      </w:tr>
      <w:tr>
        <w:tc>
          <w:tcPr/>
          <w:p>
            <w:pPr>
              <w:pStyle w:val="Compact"/>
              <w:jc w:val="left"/>
            </w:pPr>
            <w:r>
              <w:rPr>
                <w:bCs/>
                <w:b/>
              </w:rPr>
              <w:t xml:space="preserve">GRAND TOTAL PRODUCT CARBON FOOTPRINT</w:t>
            </w:r>
          </w:p>
        </w:tc>
        <w:tc>
          <w:tcPr/>
          <w:p>
            <w:pPr>
              <w:pStyle w:val="Compact"/>
              <w:jc w:val="left"/>
            </w:pPr>
            <w:r>
              <w:rPr>
                <w:bCs/>
                <w:b/>
              </w:rPr>
              <w:t xml:space="preserve">57.46</w:t>
            </w:r>
          </w:p>
        </w:tc>
      </w:tr>
    </w:tbl>
    <w:p>
      <w:pPr>
        <w:pStyle w:val="BodyText"/>
      </w:pPr>
      <w:r>
        <w:t xml:space="preserve">The total Product Carbon Footprint for one unit of</w:t>
      </w:r>
      <w:r>
        <w:t xml:space="preserve"> </w:t>
      </w:r>
      <w:r>
        <w:rPr>
          <w:bCs/>
          <w:b/>
        </w:rPr>
        <w:t xml:space="preserve">ilxwkixrpx</w:t>
      </w:r>
      <w:r>
        <w:t xml:space="preserve"> </w:t>
      </w:r>
      <w:r>
        <w:t xml:space="preserve">is calculated to be approximately</w:t>
      </w:r>
      <w:r>
        <w:t xml:space="preserve"> </w:t>
      </w:r>
      <w:r>
        <w:rPr>
          <w:bCs/>
          <w:b/>
        </w:rPr>
        <w:t xml:space="preserve">57.46 kg CO2e</w:t>
      </w:r>
      <w:r>
        <w:t xml:space="preserve">.</w:t>
      </w:r>
    </w:p>
    <w:bookmarkEnd w:id="37"/>
    <w:bookmarkEnd w:id="38"/>
    <w:p>
      <w:r>
        <w:pict>
          <v:rect style="width:0;height:1.5pt" o:hralign="center" o:hrstd="t" o:hr="t"/>
        </w:pict>
      </w:r>
    </w:p>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primary emission hotspots for ilxwkixrpx:</w:t>
      </w:r>
    </w:p>
    <w:p>
      <w:pPr>
        <w:numPr>
          <w:ilvl w:val="0"/>
          <w:numId w:val="1019"/>
        </w:numPr>
        <w:pStyle w:val="Compact"/>
      </w:pPr>
      <w:r>
        <w:rPr>
          <w:bCs/>
          <w:b/>
        </w:rPr>
        <w:t xml:space="preserve">Materials (Scope 3 Upstream):</w:t>
      </w:r>
      <w:r>
        <w:t xml:space="preserve"> </w:t>
      </w:r>
      <w:r>
        <w:t xml:space="preserve">Accounting for approximately 46.89% of total emissions (26.94 kg CO2e out of 57.46 kg CO2e), the production of raw materials, particularly Aluminum and the Lithium-ion Battery, represents the largest single impact.</w:t>
      </w:r>
    </w:p>
    <w:p>
      <w:pPr>
        <w:numPr>
          <w:ilvl w:val="0"/>
          <w:numId w:val="1019"/>
        </w:numPr>
        <w:pStyle w:val="Compact"/>
      </w:pPr>
      <w:r>
        <w:rPr>
          <w:bCs/>
          <w:b/>
        </w:rPr>
        <w:t xml:space="preserve">Use Phase (Scope 3 Downstream):</w:t>
      </w:r>
      <w:r>
        <w:t xml:space="preserve"> </w:t>
      </w:r>
      <w:r>
        <w:t xml:space="preserve">The energy consumed during the 5-year lifespan of the product contributes significantly (24.97% or 14.4 kg CO2e), highlighting the importance of energy efficiency in product design.</w:t>
      </w:r>
    </w:p>
    <w:p>
      <w:pPr>
        <w:numPr>
          <w:ilvl w:val="0"/>
          <w:numId w:val="1019"/>
        </w:numPr>
        <w:pStyle w:val="Compact"/>
      </w:pPr>
      <w:r>
        <w:rPr>
          <w:bCs/>
          <w:b/>
        </w:rPr>
        <w:t xml:space="preserve">Production Energy (Scope 2):</w:t>
      </w:r>
      <w:r>
        <w:t xml:space="preserve"> </w:t>
      </w:r>
      <w:r>
        <w:t xml:space="preserve">Despite 50% renewable energy usage, purchased electricity for manufacturing in China contributes approximately 27.00% (15.51 kg CO2e) due to the grid\'s relatively high emission factor.</w:t>
      </w:r>
    </w:p>
    <w:bookmarkEnd w:id="39"/>
    <w:bookmarkStart w:id="40" w:name="reliability-and-limitations"/>
    <w:p>
      <w:pPr>
        <w:pStyle w:val="Heading3"/>
      </w:pPr>
      <w:r>
        <w:t xml:space="preserve">5.2. Reliability and Limitations</w:t>
      </w:r>
    </w:p>
    <w:p>
      <w:pPr>
        <w:pStyle w:val="FirstParagraph"/>
      </w:pPr>
      <w:r>
        <w:t xml:space="preserve">The reliability of this PCF assessment is high due to the detailed BOM and specific operational data provided. However, certain assumptions were made where primary data was not explicitly detailed:</w:t>
      </w:r>
    </w:p>
    <w:p>
      <w:pPr>
        <w:numPr>
          <w:ilvl w:val="0"/>
          <w:numId w:val="1020"/>
        </w:numPr>
        <w:pStyle w:val="Compact"/>
      </w:pPr>
      <w:r>
        <w:t xml:space="preserve">Generic, yet representative, industry emission factors were used for materials, energy grids, and transport. More precise, supplier-specific data would further enhance accuracy.</w:t>
      </w:r>
    </w:p>
    <w:p>
      <w:pPr>
        <w:numPr>
          <w:ilvl w:val="0"/>
          <w:numId w:val="1020"/>
        </w:numPr>
        <w:pStyle w:val="Compact"/>
      </w:pPr>
      <w:r>
        <w:t xml:space="preserve">Specific process emissions (Scope 1) at the production facility were assumed negligible for simplicity.</w:t>
      </w:r>
    </w:p>
    <w:p>
      <w:pPr>
        <w:numPr>
          <w:ilvl w:val="0"/>
          <w:numId w:val="1020"/>
        </w:numPr>
        <w:pStyle w:val="Compact"/>
      </w:pPr>
      <w:r>
        <w:t xml:space="preserve">The \'Total Carbon\' values in the BOM were assumed to be accurate pre-calculated figures for each component.</w:t>
      </w:r>
    </w:p>
    <w:p>
      <w:pPr>
        <w:numPr>
          <w:ilvl w:val="0"/>
          <w:numId w:val="1020"/>
        </w:numPr>
        <w:pStyle w:val="Compact"/>
      </w:pPr>
      <w:r>
        <w:t xml:space="preserve">Default values were assumed for placeholder parameters such as transport mode/distance, last-mile delivery, and energy consumption in use.</w:t>
      </w:r>
    </w:p>
    <w:bookmarkEnd w:id="40"/>
    <w:bookmarkStart w:id="41" w:name="recommendations-for-emission-reduction"/>
    <w:p>
      <w:pPr>
        <w:pStyle w:val="Heading3"/>
      </w:pPr>
      <w:r>
        <w:t xml:space="preserve">5.3. Recommendations for Emission Reduction</w:t>
      </w:r>
    </w:p>
    <w:p>
      <w:pPr>
        <w:pStyle w:val="FirstParagraph"/>
      </w:pPr>
      <w:r>
        <w:t xml:space="preserve">Based on the identified hotspots, sipoknmxzr can focus on the following strategies:</w:t>
      </w:r>
    </w:p>
    <w:p>
      <w:pPr>
        <w:numPr>
          <w:ilvl w:val="0"/>
          <w:numId w:val="1021"/>
        </w:numPr>
        <w:pStyle w:val="Compact"/>
      </w:pPr>
      <w:r>
        <w:rPr>
          <w:bCs/>
          <w:b/>
        </w:rPr>
        <w:t xml:space="preserve">Material Optimization:</w:t>
      </w:r>
    </w:p>
    <w:p>
      <w:pPr>
        <w:numPr>
          <w:ilvl w:val="1"/>
          <w:numId w:val="1022"/>
        </w:numPr>
        <w:pStyle w:val="Compact"/>
      </w:pPr>
      <w:r>
        <w:t xml:space="preserve">Explore alternative, lower-carbon materials for the casing (e.g., recycled aluminum, bioplastics).</w:t>
      </w:r>
    </w:p>
    <w:p>
      <w:pPr>
        <w:numPr>
          <w:ilvl w:val="1"/>
          <w:numId w:val="1022"/>
        </w:numPr>
        <w:pStyle w:val="Compact"/>
      </w:pPr>
      <w:r>
        <w:t xml:space="preserve">Investigate battery suppliers with lower manufacturing footprints or higher recycled content.</w:t>
      </w:r>
    </w:p>
    <w:p>
      <w:pPr>
        <w:numPr>
          <w:ilvl w:val="1"/>
          <w:numId w:val="1022"/>
        </w:numPr>
        <w:pStyle w:val="Compact"/>
      </w:pPr>
      <w:r>
        <w:t xml:space="preserve">Optimize material usage to reduce overall quantity.</w:t>
      </w:r>
    </w:p>
    <w:p>
      <w:pPr>
        <w:numPr>
          <w:ilvl w:val="0"/>
          <w:numId w:val="1021"/>
        </w:numPr>
        <w:pStyle w:val="Compact"/>
      </w:pPr>
      <w:r>
        <w:rPr>
          <w:bCs/>
          <w:b/>
        </w:rPr>
        <w:t xml:space="preserve">Renewable Energy Sourcing:</w:t>
      </w:r>
    </w:p>
    <w:p>
      <w:pPr>
        <w:numPr>
          <w:ilvl w:val="1"/>
          <w:numId w:val="1023"/>
        </w:numPr>
        <w:pStyle w:val="Compact"/>
      </w:pPr>
      <w:r>
        <w:t xml:space="preserve">Increase the percentage of renewable electricity purchased for manufacturing facilities in China beyond 50% through PPAs, on-site generation, or renewable energy certificates.</w:t>
      </w:r>
    </w:p>
    <w:p>
      <w:pPr>
        <w:numPr>
          <w:ilvl w:val="1"/>
          <w:numId w:val="1023"/>
        </w:numPr>
        <w:pStyle w:val="Compact"/>
      </w:pPr>
      <w:r>
        <w:t xml:space="preserve">Work with suppliers to encourage their transition to renewable energy.</w:t>
      </w:r>
    </w:p>
    <w:p>
      <w:pPr>
        <w:numPr>
          <w:ilvl w:val="0"/>
          <w:numId w:val="1021"/>
        </w:numPr>
        <w:pStyle w:val="Compact"/>
      </w:pPr>
      <w:r>
        <w:rPr>
          <w:bCs/>
          <w:b/>
        </w:rPr>
        <w:t xml:space="preserve">Product Energy Efficiency:</w:t>
      </w:r>
    </w:p>
    <w:p>
      <w:pPr>
        <w:numPr>
          <w:ilvl w:val="1"/>
          <w:numId w:val="1024"/>
        </w:numPr>
        <w:pStyle w:val="Compact"/>
      </w:pPr>
      <w:r>
        <w:t xml:space="preserve">Design ilxwkixrpx for lower energy consumption during its use phase.</w:t>
      </w:r>
    </w:p>
    <w:p>
      <w:pPr>
        <w:numPr>
          <w:ilvl w:val="1"/>
          <w:numId w:val="1024"/>
        </w:numPr>
        <w:pStyle w:val="Compact"/>
      </w:pPr>
      <w:r>
        <w:t xml:space="preserve">Develop energy-saving modes or features.</w:t>
      </w:r>
    </w:p>
    <w:p>
      <w:pPr>
        <w:numPr>
          <w:ilvl w:val="1"/>
          <w:numId w:val="1024"/>
        </w:numPr>
        <w:pStyle w:val="Compact"/>
      </w:pPr>
      <w:r>
        <w:t xml:space="preserve">Educate consumers on energy-efficient usage.</w:t>
      </w:r>
    </w:p>
    <w:p>
      <w:pPr>
        <w:numPr>
          <w:ilvl w:val="0"/>
          <w:numId w:val="1021"/>
        </w:numPr>
        <w:pStyle w:val="Compact"/>
      </w:pPr>
      <w:r>
        <w:rPr>
          <w:bCs/>
          <w:b/>
        </w:rPr>
        <w:t xml:space="preserve">Circular Economy Integration:</w:t>
      </w:r>
    </w:p>
    <w:p>
      <w:pPr>
        <w:numPr>
          <w:ilvl w:val="1"/>
          <w:numId w:val="1025"/>
        </w:numPr>
        <w:pStyle w:val="Compact"/>
      </w:pPr>
      <w:r>
        <w:t xml:space="preserve">Further develop and promote the existing Product Refurbishment Program (zfrephjgeq) to extend product lifespan and reduce the need for new production.</w:t>
      </w:r>
    </w:p>
    <w:p>
      <w:pPr>
        <w:numPr>
          <w:ilvl w:val="1"/>
          <w:numId w:val="1025"/>
        </w:numPr>
        <w:pStyle w:val="Compact"/>
      </w:pPr>
      <w:r>
        <w:t xml:space="preserve">Explore design for disassembly to improve recyclability and recovery rates beyond 70%.</w:t>
      </w:r>
    </w:p>
    <w:bookmarkEnd w:id="41"/>
    <w:bookmarkEnd w:id="42"/>
    <w:p>
      <w:r>
        <w:pict>
          <v:rect style="width:0;height:1.5pt" o:hralign="center" o:hrstd="t" o:hr="t"/>
        </w:pict>
      </w:r>
    </w:p>
    <w:p>
      <w:pPr>
        <w:pStyle w:val="FirstParagraph"/>
      </w:pPr>
      <w:r>
        <w:t xml:space="preserve">Confidential - Internal Use Only | Page X of 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ilxwkixrpx</dc:title>
  <dc:creator/>
  <dc:description>Detailed Product Carbon Footprint (PCF) analysis report for product ilxwkixrpx by sipoknmxzr, prepared by Senior Sustainability Consultant fezhjrieuw, adhering to GHG Protocol standards and 2026 LSR Update.</dc:description>
  <cp:keywords/>
  <dcterms:created xsi:type="dcterms:W3CDTF">2026-05-30T12:42:13Z</dcterms:created>
  <dcterms:modified xsi:type="dcterms:W3CDTF">2026-05-30T12:42:13Z</dcterms:modified>
</cp:coreProperties>
</file>

<file path=docProps/custom.xml><?xml version="1.0" encoding="utf-8"?>
<Properties xmlns="http://schemas.openxmlformats.org/officeDocument/2006/custom-properties" xmlns:vt="http://schemas.openxmlformats.org/officeDocument/2006/docPropsVTypes"/>
</file>