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ilxtllyzxr</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rPr>
          <w:bCs/>
          <w:b/>
        </w:rPr>
        <w:t xml:space="preserve">Product Name:</w:t>
      </w:r>
      <w:r>
        <w:t xml:space="preserve"> </w:t>
      </w:r>
      <w:r>
        <w:t xml:space="preserve">ilxtllyzxr</w:t>
      </w:r>
    </w:p>
    <w:p>
      <w:pPr>
        <w:pStyle w:val="BodyText"/>
      </w:pPr>
      <w:r>
        <w:rPr>
          <w:bCs/>
          <w:b/>
        </w:rPr>
        <w:t xml:space="preserve">Company Name:</w:t>
      </w:r>
      <w:r>
        <w:t xml:space="preserve"> </w:t>
      </w:r>
      <w:r>
        <w:t xml:space="preserve">lqdixwtihp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jrumdduxij</w:t>
      </w:r>
    </w:p>
    <w:p>
      <w:pPr>
        <w:pStyle w:val="BodyText"/>
      </w:pPr>
      <w:r>
        <w:t xml:space="preserve">Disclaimer: This report is generated based on available data and industry standards, providing an estimate of the product\'s carbon footprint. Actual emissions may vary based on specific operational details and dynamic market conditions.</w:t>
      </w:r>
    </w:p>
    <w:bookmarkEnd w:id="20"/>
    <w:bookmarkStart w:id="50" w:name="Xc238f261fc8f52ef3061f3b250bda7563cb86c9"/>
    <w:p>
      <w:pPr>
        <w:pStyle w:val="Heading1"/>
      </w:pPr>
      <w:r>
        <w:t xml:space="preserve">Product Carbon Footprint Analysis Report for ilxtllyzxr</w:t>
      </w:r>
    </w:p>
    <w:p>
      <w:pPr>
        <w:pStyle w:val="FirstParagraph"/>
      </w:pPr>
      <w:r>
        <w:rPr>
          <w:bCs/>
          <w:b/>
        </w:rPr>
        <w:t xml:space="preserve">Generated Date:</w:t>
      </w:r>
      <w:r>
        <w:t xml:space="preserve"> </w:t>
      </w:r>
      <w:r>
        <w:t xml:space="preserve">June 1, 2026</w:t>
      </w:r>
    </w:p>
    <w:p>
      <w:pPr>
        <w:pStyle w:val="BodyText"/>
      </w:pPr>
      <w:r>
        <w:rPr>
          <w:bCs/>
          <w:b/>
        </w:rPr>
        <w:t xml:space="preserve">Prepared by:</w:t>
      </w:r>
      <w:r>
        <w:t xml:space="preserve"> </w:t>
      </w:r>
      <w:r>
        <w:t xml:space="preserve">jrumdduxij, Senior Sustainability Consultant</w:t>
      </w:r>
    </w:p>
    <w:p>
      <w:pPr>
        <w:pStyle w:val="BodyText"/>
      </w:pPr>
      <w:r>
        <w:rPr>
          <w:bCs/>
          <w:b/>
        </w:rPr>
        <w:t xml:space="preserve">Company:</w:t>
      </w:r>
      <w:r>
        <w:t xml:space="preserve"> </w:t>
      </w:r>
      <w:r>
        <w:t xml:space="preserve">lqdixwtihp</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ilxtllyzxr, manufactured by lqdixwtihp. The analysis was conducted by jrumdduxij, Senior Sustainability Consultant, adhering strictly to the GHG Protocol accounting standard and incorporating the 2026 Land Sector and Removals (LSR) Standard update principles. The total estimated Product Carbon Footprint for one functional unit of ilxtllyzxr is</w:t>
      </w:r>
      <w:r>
        <w:t xml:space="preserve"> </w:t>
      </w:r>
      <w:r>
        <w:rPr>
          <w:bCs/>
          <w:b/>
        </w:rPr>
        <w:t xml:space="preserve">22.31 kg CO2e</w:t>
      </w:r>
      <w:r>
        <w:t xml:space="preserve">. The primary hotspots identified in the product\'s lifecycle are the Use Phase, followed by Material Acquisition. This analysis provides actionable insights for lqdixwtihp to identify and prioritize emission reduction strategies across its value chain.</w:t>
      </w:r>
    </w:p>
    <w:p>
      <w:r>
        <w:pict>
          <v:rect style="width:0;height:1.5pt" o:hralign="center" o:hrstd="t" o:hr="t"/>
        </w:pict>
      </w:r>
    </w:p>
    <w:bookmarkEnd w:id="21"/>
    <w:bookmarkStart w:id="29" w:name="scope-definition-and-methodology"/>
    <w:p>
      <w:pPr>
        <w:pStyle w:val="Heading2"/>
      </w:pPr>
      <w:r>
        <w:t xml:space="preserve">2. Scope Definition and Methodology</w:t>
      </w:r>
    </w:p>
    <w:bookmarkStart w:id="22" w:name="accounting-standard"/>
    <w:p>
      <w:pPr>
        <w:pStyle w:val="Heading3"/>
      </w:pPr>
      <w:r>
        <w:t xml:space="preserve">2.1.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providing a comprehensive assessment of greenhouse gas emissions throughout the product\'s lifecycle. Emissions are categorized into Scope 1 (direct emissions from owned or controlled sources), Scope 2 (indirect emissions from purchased electricity, heat, or steam), and Scope 3 (all other indirect emissions in the value chain, both upstream and downstream). A robust 95% coverage for Scope 3 emissions has been targeted, aligning with 2026 reporting requirements.</w:t>
      </w:r>
    </w:p>
    <w:bookmarkEnd w:id="22"/>
    <w:bookmarkStart w:id="23"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ilxtllyzxr</w:t>
      </w:r>
      <w:r>
        <w:t xml:space="preserve">. This unit serves as the reference basis for quantifying all inputs and outputs of the product system.</w:t>
      </w:r>
    </w:p>
    <w:bookmarkEnd w:id="23"/>
    <w:bookmarkStart w:id="24" w:name="system-boundary"/>
    <w:p>
      <w:pPr>
        <w:pStyle w:val="Heading3"/>
      </w:pPr>
      <w:r>
        <w:t xml:space="preserve">2.3. System Boundary</w:t>
      </w:r>
    </w:p>
    <w:p>
      <w:pPr>
        <w:pStyle w:val="FirstParagraph"/>
      </w:pPr>
      <w:r>
        <w:t xml:space="preserve">The system boundary for this PCF analysis is defined as</w:t>
      </w:r>
      <w:r>
        <w:t xml:space="preserve"> </w:t>
      </w:r>
      <w:r>
        <w:rPr>
          <w:bCs/>
          <w:b/>
        </w:rPr>
        <w:t xml:space="preserve">"factory_gate" with expanded downstream phases</w:t>
      </w:r>
      <w:r>
        <w:t xml:space="preserve">. While the primary production boundary is at the factory gate in China, the analysis extends to include significant downstream Scope 3 categories:</w:t>
      </w:r>
    </w:p>
    <w:p>
      <w:pPr>
        <w:numPr>
          <w:ilvl w:val="0"/>
          <w:numId w:val="1001"/>
        </w:numPr>
        <w:pStyle w:val="Compact"/>
      </w:pPr>
      <w:r>
        <w:rPr>
          <w:bCs/>
          <w:b/>
        </w:rPr>
        <w:t xml:space="preserve">Upstream (Scope 3):</w:t>
      </w:r>
      <w:r>
        <w:t xml:space="preserve"> </w:t>
      </w:r>
      <w:r>
        <w:t xml:space="preserve">Material Acquisition and Pre-processing, Upstream Transportation.</w:t>
      </w:r>
    </w:p>
    <w:p>
      <w:pPr>
        <w:numPr>
          <w:ilvl w:val="0"/>
          <w:numId w:val="1001"/>
        </w:numPr>
        <w:pStyle w:val="Compact"/>
      </w:pPr>
      <w:r>
        <w:rPr>
          <w:bCs/>
          <w:b/>
        </w:rPr>
        <w:t xml:space="preserve">Core (Scope 1 &amp; 2):</w:t>
      </w:r>
      <w:r>
        <w:t xml:space="preserve"> </w:t>
      </w:r>
      <w:r>
        <w:t xml:space="preserve">Manufacturing/Production (at final production facility).</w:t>
      </w:r>
    </w:p>
    <w:p>
      <w:pPr>
        <w:numPr>
          <w:ilvl w:val="0"/>
          <w:numId w:val="1001"/>
        </w:numPr>
        <w:pStyle w:val="Compact"/>
      </w:pPr>
      <w:r>
        <w:rPr>
          <w:bCs/>
          <w:b/>
        </w:rPr>
        <w:t xml:space="preserve">Downstream (Scope 3):</w:t>
      </w:r>
      <w:r>
        <w:t xml:space="preserve"> </w:t>
      </w:r>
      <w:r>
        <w:t xml:space="preserve">Transportation and Distribution to customer, Use Phase, and End-of-Life (EoL) treatment.</w:t>
      </w:r>
    </w:p>
    <w:bookmarkEnd w:id="24"/>
    <w:bookmarkStart w:id="25" w:name="geographic-scope"/>
    <w:p>
      <w:pPr>
        <w:pStyle w:val="Heading3"/>
      </w:pPr>
      <w:r>
        <w:t xml:space="preserve">2.4. Geographic Scope</w:t>
      </w:r>
    </w:p>
    <w:p>
      <w:pPr>
        <w:pStyle w:val="FirstParagraph"/>
      </w:pPr>
      <w:r>
        <w:t xml:space="preserve">The geographic scope of this assessment covers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implying that downstream transport and use phase considerations are modeled with European context where applicable.</w:t>
      </w:r>
    </w:p>
    <w:bookmarkEnd w:id="25"/>
    <w:bookmarkStart w:id="26" w:name="allocation"/>
    <w:p>
      <w:pPr>
        <w:pStyle w:val="Heading3"/>
      </w:pPr>
      <w:r>
        <w:t xml:space="preserve">2.5. Allocation</w:t>
      </w:r>
    </w:p>
    <w:p>
      <w:pPr>
        <w:pStyle w:val="FirstParagraph"/>
      </w:pPr>
      <w:r>
        <w:t xml:space="preserve">Mass-based allocation has been applied where appropriate for multi-functional processes or co-products. For End-of-Life, the "avoided burden" approach is used to credit recycling activities.</w:t>
      </w:r>
    </w:p>
    <w:bookmarkEnd w:id="26"/>
    <w:bookmarkStart w:id="27" w:name="methodology-followed"/>
    <w:p>
      <w:pPr>
        <w:pStyle w:val="Heading3"/>
      </w:pPr>
      <w:r>
        <w:t xml:space="preserve">2.6. Methodology Followed</w:t>
      </w:r>
    </w:p>
    <w:p>
      <w:pPr>
        <w:pStyle w:val="FirstParagraph"/>
      </w:pPr>
      <w:r>
        <w:t xml:space="preserve">The PCF analysis adhered to the following steps as per industry best practices:</w:t>
      </w:r>
    </w:p>
    <w:p>
      <w:pPr>
        <w:numPr>
          <w:ilvl w:val="0"/>
          <w:numId w:val="1002"/>
        </w:numPr>
        <w:pStyle w:val="Compact"/>
      </w:pPr>
      <w:r>
        <w:rPr>
          <w:bCs/>
          <w:b/>
        </w:rPr>
        <w:t xml:space="preserve">Define Scope:</w:t>
      </w:r>
      <w:r>
        <w:t xml:space="preserve"> </w:t>
      </w:r>
      <w:r>
        <w:t xml:space="preserve">Functional unit, system boundaries, geographic scope, and allocation methods were clearly established.</w:t>
      </w:r>
    </w:p>
    <w:p>
      <w:pPr>
        <w:numPr>
          <w:ilvl w:val="0"/>
          <w:numId w:val="1002"/>
        </w:numPr>
        <w:pStyle w:val="Compact"/>
      </w:pPr>
      <w:r>
        <w:rPr>
          <w:bCs/>
          <w:b/>
        </w:rPr>
        <w:t xml:space="preserve">Map Lifecycle:</w:t>
      </w:r>
      <w:r>
        <w:t xml:space="preserve"> </w:t>
      </w:r>
      <w:r>
        <w:t xml:space="preserve">All relevant lifecycle inventory stages (materials, production, transport, use, EoL) were identified.</w:t>
      </w:r>
    </w:p>
    <w:p>
      <w:pPr>
        <w:numPr>
          <w:ilvl w:val="0"/>
          <w:numId w:val="1002"/>
        </w:numPr>
        <w:pStyle w:val="Compact"/>
      </w:pPr>
      <w:r>
        <w:rPr>
          <w:bCs/>
          <w:b/>
        </w:rPr>
        <w:t xml:space="preserve">Collect Data:</w:t>
      </w:r>
      <w:r>
        <w:t xml:space="preserve"> </w:t>
      </w:r>
      <w:r>
        <w:t xml:space="preserve">Primary data (from lqdixwtihp parameters) and secondary data (industry-standard emission factors) were gathered.</w:t>
      </w:r>
    </w:p>
    <w:p>
      <w:pPr>
        <w:numPr>
          <w:ilvl w:val="0"/>
          <w:numId w:val="1002"/>
        </w:numPr>
        <w:pStyle w:val="Compact"/>
      </w:pPr>
      <w:r>
        <w:rPr>
          <w:bCs/>
          <w:b/>
        </w:rPr>
        <w:t xml:space="preserve">Calculate Emissions:</w:t>
      </w:r>
      <w:r>
        <w:t xml:space="preserve"> </w:t>
      </w:r>
      <w:r>
        <w:t xml:space="preserve">Emissions were calculated using the formula: Activity Data × Emission Factor = CO2e, and categorized into GHG Protocol Scopes.</w:t>
      </w:r>
    </w:p>
    <w:p>
      <w:pPr>
        <w:numPr>
          <w:ilvl w:val="0"/>
          <w:numId w:val="1002"/>
        </w:numPr>
        <w:pStyle w:val="Compact"/>
      </w:pPr>
      <w:r>
        <w:rPr>
          <w:bCs/>
          <w:b/>
        </w:rPr>
        <w:t xml:space="preserve">Review &amp; Report:</w:t>
      </w:r>
      <w:r>
        <w:t xml:space="preserve"> </w:t>
      </w:r>
      <w:r>
        <w:t xml:space="preserve">Key hotspots were identified, and the reliability of the analysis was assessed based on data quality.</w:t>
      </w:r>
    </w:p>
    <w:bookmarkEnd w:id="27"/>
    <w:bookmarkStart w:id="28" w:name="X504f4a86e01fdcfa46a4589bb1b5e0cfaad8629"/>
    <w:p>
      <w:pPr>
        <w:pStyle w:val="Heading3"/>
      </w:pPr>
      <w:r>
        <w:t xml:space="preserve">2.7. 2026 Land Sector and Removals (LSR) Standard Update</w:t>
      </w:r>
    </w:p>
    <w:p>
      <w:pPr>
        <w:pStyle w:val="FirstParagraph"/>
      </w:pPr>
      <w:r>
        <w:t xml:space="preserve">In anticipation of the 2026 Land Sector and Removals (LSR) Standard, this analysis acknowledges the importance of accounting for land use and carbon removals. For ilxtllyzxr, a manufactured product, direct land-use change impacts and removals are considered minimal or not directly quantifiable with the provided parameters. However, the principles of tracking and reporting these aspects are integrated into the overall framework for future enhancements, particularly if bio-based materials or land-intensive processes become more significant in the product\'s lifecycle.</w:t>
      </w:r>
    </w:p>
    <w:p>
      <w:r>
        <w:pict>
          <v:rect style="width:0;height:1.5pt" o:hralign="center" o:hrstd="t" o:hr="t"/>
        </w:pict>
      </w:r>
    </w:p>
    <w:bookmarkEnd w:id="28"/>
    <w:bookmarkEnd w:id="29"/>
    <w:bookmarkStart w:id="36" w:name="Xc585fdfe0923a8f252274274152083ce38b4723"/>
    <w:p>
      <w:pPr>
        <w:pStyle w:val="Heading2"/>
      </w:pPr>
      <w:r>
        <w:t xml:space="preserve">3. Lifecycle Inventory Mapping &amp; Data Collection</w:t>
      </w:r>
    </w:p>
    <w:bookmarkStart w:id="30" w:name="X0fdcf13a0cfbfa4029ccee36c9ba3f5c78d65c8"/>
    <w:p>
      <w:pPr>
        <w:pStyle w:val="Heading3"/>
      </w:pPr>
      <w:r>
        <w:t xml:space="preserve">3.1. Detailed Bill of Materials (BOM) for uhofiuid</w:t>
      </w:r>
    </w:p>
    <w:p>
      <w:pPr>
        <w:pStyle w:val="FirstParagraph"/>
      </w:pPr>
      <w:r>
        <w:t xml:space="preserve">The material composition of ilxtllyzxr is a critical input for calculating upstream (Scope 3, Category 1) emissions. The following detailed Bill of Materials (BOM)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bl>
    <w:p>
      <w:pPr>
        <w:pStyle w:val="BodyText"/>
      </w:pPr>
      <w:r>
        <w:rPr>
          <w:bCs/>
          <w:b/>
        </w:rPr>
        <w:t xml:space="preserve">Total Emissions from Material Acquisition: 5.60 kg CO2e</w:t>
      </w:r>
    </w:p>
    <w:p>
      <w:pPr>
        <w:pStyle w:val="BodyText"/>
      </w:pPr>
      <w:r>
        <w:t xml:space="preserve">The total mass of the product (sum of quantities from BOM) is 0.5 + 0.2 + 0.1 + 0.05 = 0.85 kg.</w:t>
      </w:r>
    </w:p>
    <w:bookmarkEnd w:id="30"/>
    <w:bookmarkStart w:id="31" w:name="energy-inputs-for-production-phase"/>
    <w:p>
      <w:pPr>
        <w:pStyle w:val="Heading3"/>
      </w:pPr>
      <w:r>
        <w:t xml:space="preserve">3.2. Energy Inputs for Production Phase</w:t>
      </w:r>
    </w:p>
    <w:p>
      <w:pPr>
        <w:pStyle w:val="FirstParagraph"/>
      </w:pPr>
      <w:r>
        <w:t xml:space="preserve">The production phase, located in China, accounts for energy consumed during manufacturing processes.</w:t>
      </w:r>
    </w:p>
    <w:p>
      <w:pPr>
        <w:numPr>
          <w:ilvl w:val="0"/>
          <w:numId w:val="1003"/>
        </w:numPr>
        <w:pStyle w:val="Compact"/>
      </w:pPr>
      <w:r>
        <w:rPr>
          <w:bCs/>
          <w:b/>
        </w:rPr>
        <w:t xml:space="preserve">Energy Intensity (kWh/unit):</w:t>
      </w:r>
      <w:r>
        <w:t xml:space="preserve"> </w:t>
      </w:r>
      <w:r>
        <w:t xml:space="preserve">lunsuugenh (10 kWh/unit)</w:t>
      </w:r>
    </w:p>
    <w:p>
      <w:pPr>
        <w:numPr>
          <w:ilvl w:val="0"/>
          <w:numId w:val="1003"/>
        </w:numPr>
        <w:pStyle w:val="Compact"/>
      </w:pPr>
      <w:r>
        <w:rPr>
          <w:bCs/>
          <w:b/>
        </w:rPr>
        <w:t xml:space="preserve">Renewable Energy Usage:</w:t>
      </w:r>
      <w:r>
        <w:t xml:space="preserve"> </w:t>
      </w:r>
      <w:r>
        <w:t xml:space="preserve">ftghinsygs (75%)</w:t>
      </w:r>
    </w:p>
    <w:p>
      <w:pPr>
        <w:pStyle w:val="FirstParagraph"/>
      </w:pPr>
      <w:r>
        <w:t xml:space="preserve">This means 25% of the energy (2.5 kWh/unit) is sourced from the non-renewable grid mix, while 75% is from renewable sources. Emissions from purchased renewable energy are considered zero at the point of consumption, though their upstream impacts are acknowledged.</w:t>
      </w:r>
    </w:p>
    <w:bookmarkEnd w:id="31"/>
    <w:bookmarkStart w:id="32" w:name="logistics-data"/>
    <w:p>
      <w:pPr>
        <w:pStyle w:val="Heading3"/>
      </w:pPr>
      <w:r>
        <w:t xml:space="preserve">3.3. Logistics Data</w:t>
      </w:r>
    </w:p>
    <w:p>
      <w:pPr>
        <w:pStyle w:val="FirstParagraph"/>
      </w:pPr>
      <w:r>
        <w:t xml:space="preserve">Transportation plays a significant role in the product\'s footprint, covering both outbound logistics to the customer.</w:t>
      </w:r>
    </w:p>
    <w:p>
      <w:pPr>
        <w:numPr>
          <w:ilvl w:val="0"/>
          <w:numId w:val="1004"/>
        </w:numPr>
        <w:pStyle w:val="Compact"/>
      </w:pPr>
      <w:r>
        <w:rPr>
          <w:bCs/>
          <w:b/>
        </w:rPr>
        <w:t xml:space="preserve">Primary Transport Mode:</w:t>
      </w:r>
      <w:r>
        <w:t xml:space="preserve"> </w:t>
      </w:r>
      <w:r>
        <w:t xml:space="preserve">Select Mode (Road Freight (HGV &gt; 16t))</w:t>
      </w:r>
    </w:p>
    <w:p>
      <w:pPr>
        <w:numPr>
          <w:ilvl w:val="0"/>
          <w:numId w:val="1004"/>
        </w:numPr>
        <w:pStyle w:val="Compact"/>
      </w:pPr>
      <w:r>
        <w:rPr>
          <w:bCs/>
          <w:b/>
        </w:rPr>
        <w:t xml:space="preserve">Transport Distance:</w:t>
      </w:r>
      <w:r>
        <w:t xml:space="preserve"> </w:t>
      </w:r>
      <w:r>
        <w:t xml:space="preserve">hjwhtdswfg (1500 km)</w:t>
      </w:r>
    </w:p>
    <w:p>
      <w:pPr>
        <w:numPr>
          <w:ilvl w:val="0"/>
          <w:numId w:val="1004"/>
        </w:numPr>
        <w:pStyle w:val="Compact"/>
      </w:pPr>
      <w:r>
        <w:rPr>
          <w:bCs/>
          <w:b/>
        </w:rPr>
        <w:t xml:space="preserve">Last-Mile Delivery Channel:</w:t>
      </w:r>
      <w:r>
        <w:t xml:space="preserve"> </w:t>
      </w:r>
      <w:r>
        <w:t xml:space="preserve">Delivery Type (Parcel Delivery Van)</w:t>
      </w:r>
    </w:p>
    <w:bookmarkEnd w:id="32"/>
    <w:bookmarkStart w:id="33" w:name="use-phase-data"/>
    <w:p>
      <w:pPr>
        <w:pStyle w:val="Heading3"/>
      </w:pPr>
      <w:r>
        <w:t xml:space="preserve">3.4. Use Phase Data</w:t>
      </w:r>
    </w:p>
    <w:p>
      <w:pPr>
        <w:pStyle w:val="FirstParagraph"/>
      </w:pPr>
      <w:r>
        <w:t xml:space="preserve">The product\'s use phase can be a major contributor to its overall footprint, particularly for energy-consuming products.</w:t>
      </w:r>
    </w:p>
    <w:p>
      <w:pPr>
        <w:numPr>
          <w:ilvl w:val="0"/>
          <w:numId w:val="1005"/>
        </w:numPr>
        <w:pStyle w:val="Compact"/>
      </w:pPr>
      <w:r>
        <w:rPr>
          <w:bCs/>
          <w:b/>
        </w:rPr>
        <w:t xml:space="preserve">Product Lifespan:</w:t>
      </w:r>
      <w:r>
        <w:t xml:space="preserve"> </w:t>
      </w:r>
      <w:r>
        <w:t xml:space="preserve">yrnzpgnzvl (5 years)</w:t>
      </w:r>
    </w:p>
    <w:p>
      <w:pPr>
        <w:numPr>
          <w:ilvl w:val="0"/>
          <w:numId w:val="1005"/>
        </w:numPr>
        <w:pStyle w:val="Compact"/>
      </w:pPr>
      <w:r>
        <w:rPr>
          <w:bCs/>
          <w:b/>
        </w:rPr>
        <w:t xml:space="preserve">Energy Consumption in Use:</w:t>
      </w:r>
      <w:r>
        <w:t xml:space="preserve"> </w:t>
      </w:r>
      <w:r>
        <w:t xml:space="preserve">lshwmixepm (20 kWh/year)</w:t>
      </w:r>
    </w:p>
    <w:bookmarkEnd w:id="33"/>
    <w:bookmarkStart w:id="34" w:name="end-of-life-eol-scenarios"/>
    <w:p>
      <w:pPr>
        <w:pStyle w:val="Heading3"/>
      </w:pPr>
      <w:r>
        <w:t xml:space="preserve">3.5. End-of-Life (EoL) Scenarios</w:t>
      </w:r>
    </w:p>
    <w:p>
      <w:pPr>
        <w:pStyle w:val="FirstParagraph"/>
      </w:pPr>
      <w:r>
        <w:t xml:space="preserve">Circular economy impacts are considered by incorporating end-of-life scenarios.</w:t>
      </w:r>
    </w:p>
    <w:p>
      <w:pPr>
        <w:numPr>
          <w:ilvl w:val="0"/>
          <w:numId w:val="1006"/>
        </w:numPr>
        <w:pStyle w:val="Compact"/>
      </w:pPr>
      <w:r>
        <w:rPr>
          <w:bCs/>
          <w:b/>
        </w:rPr>
        <w:t xml:space="preserve">Recyclability Percentage:</w:t>
      </w:r>
      <w:r>
        <w:t xml:space="preserve"> </w:t>
      </w:r>
      <w:r>
        <w:t xml:space="preserve">jdhdhqsyui (80%)</w:t>
      </w:r>
    </w:p>
    <w:p>
      <w:pPr>
        <w:numPr>
          <w:ilvl w:val="0"/>
          <w:numId w:val="1006"/>
        </w:numPr>
        <w:pStyle w:val="Compact"/>
      </w:pPr>
      <w:r>
        <w:rPr>
          <w:bCs/>
          <w:b/>
        </w:rPr>
        <w:t xml:space="preserve">Circular/Take-back Programs:</w:t>
      </w:r>
      <w:r>
        <w:t xml:space="preserve"> </w:t>
      </w:r>
      <w:r>
        <w:t xml:space="preserve">vuuqsmodum (Product take-back scheme with material recovery)</w:t>
      </w:r>
    </w:p>
    <w:bookmarkEnd w:id="34"/>
    <w:bookmarkStart w:id="35" w:name="emission-factors-used"/>
    <w:p>
      <w:pPr>
        <w:pStyle w:val="Heading3"/>
      </w:pPr>
      <w:r>
        <w:t xml:space="preserve">3.6. Emission Factors Used</w:t>
      </w:r>
    </w:p>
    <w:p>
      <w:pPr>
        <w:pStyle w:val="FirstParagraph"/>
      </w:pPr>
      <w:r>
        <w:t xml:space="preserve">Industry-standard emission factors were used for calculations, primarily drawing from established databases and recent reports. Assumptions made are detailed below:</w:t>
      </w:r>
    </w:p>
    <w:p>
      <w:pPr>
        <w:numPr>
          <w:ilvl w:val="0"/>
          <w:numId w:val="1007"/>
        </w:numPr>
        <w:pStyle w:val="Compact"/>
      </w:pPr>
      <w:r>
        <w:rPr>
          <w:bCs/>
          <w:b/>
        </w:rPr>
        <w:t xml:space="preserve">China Grid Electricity Factor:</w:t>
      </w:r>
      <w:r>
        <w:t xml:space="preserve"> </w:t>
      </w:r>
      <w:r>
        <w:t xml:space="preserve">0.65 kg CO2e/kWh (average for purchased non-renewable electricity)</w:t>
      </w:r>
    </w:p>
    <w:p>
      <w:pPr>
        <w:numPr>
          <w:ilvl w:val="0"/>
          <w:numId w:val="1007"/>
        </w:numPr>
        <w:pStyle w:val="Compact"/>
      </w:pPr>
      <w:r>
        <w:rPr>
          <w:bCs/>
          <w:b/>
        </w:rPr>
        <w:t xml:space="preserve">EU Average Grid Electricity Factor:</w:t>
      </w:r>
      <w:r>
        <w:t xml:space="preserve"> </w:t>
      </w:r>
      <w:r>
        <w:t xml:space="preserve">0.181 kg CO2e/kWh (for product use phase in Europe)</w:t>
      </w:r>
    </w:p>
    <w:p>
      <w:pPr>
        <w:numPr>
          <w:ilvl w:val="0"/>
          <w:numId w:val="1007"/>
        </w:numPr>
        <w:pStyle w:val="Compact"/>
      </w:pPr>
      <w:r>
        <w:rPr>
          <w:bCs/>
          <w:b/>
        </w:rPr>
        <w:t xml:space="preserve">Road Freight (HGV &gt; 16t):</w:t>
      </w:r>
      <w:r>
        <w:t xml:space="preserve"> </w:t>
      </w:r>
      <w:r>
        <w:t xml:space="preserve">0.092 kg CO2e/tkm (Well-to-Wheel, for Europe-focused supply chain)</w:t>
      </w:r>
    </w:p>
    <w:p>
      <w:pPr>
        <w:numPr>
          <w:ilvl w:val="0"/>
          <w:numId w:val="1007"/>
        </w:numPr>
        <w:pStyle w:val="Compact"/>
      </w:pPr>
      <w:r>
        <w:rPr>
          <w:bCs/>
          <w:b/>
        </w:rPr>
        <w:t xml:space="preserve">Parcel Delivery Van:</w:t>
      </w:r>
      <w:r>
        <w:t xml:space="preserve"> </w:t>
      </w:r>
      <w:r>
        <w:t xml:space="preserve">0.15 kg CO2e/km (general estimate for light commercial vehicles)</w:t>
      </w:r>
    </w:p>
    <w:p>
      <w:pPr>
        <w:numPr>
          <w:ilvl w:val="0"/>
          <w:numId w:val="1007"/>
        </w:numPr>
        <w:pStyle w:val="Compact"/>
      </w:pPr>
      <w:r>
        <w:rPr>
          <w:bCs/>
          <w:b/>
        </w:rPr>
        <w:t xml:space="preserve">Last-Mile Delivery Distance (allocated):</w:t>
      </w:r>
      <w:r>
        <w:t xml:space="preserve"> </w:t>
      </w:r>
      <w:r>
        <w:t xml:space="preserve">5 km (assumption for shared route)</w:t>
      </w:r>
    </w:p>
    <w:p>
      <w:pPr>
        <w:numPr>
          <w:ilvl w:val="0"/>
          <w:numId w:val="1007"/>
        </w:numPr>
        <w:pStyle w:val="Compact"/>
      </w:pPr>
      <w:r>
        <w:rPr>
          <w:bCs/>
          <w:b/>
        </w:rPr>
        <w:t xml:space="preserve">Recycling Avoidance Factor:</w:t>
      </w:r>
      <w:r>
        <w:t xml:space="preserve"> </w:t>
      </w:r>
      <w:r>
        <w:t xml:space="preserve">0.7 (assuming recycling avoids 70% of virgin material production emissions, applied as a credit)</w:t>
      </w:r>
    </w:p>
    <w:p>
      <w:r>
        <w:pict>
          <v:rect style="width:0;height:1.5pt" o:hralign="center" o:hrstd="t" o:hr="t"/>
        </w:pict>
      </w:r>
    </w:p>
    <w:bookmarkEnd w:id="35"/>
    <w:bookmarkEnd w:id="36"/>
    <w:bookmarkStart w:id="45" w:name="Xdd0f433185fde5fd9508eee9e1e7bcaa542b608"/>
    <w:p>
      <w:pPr>
        <w:pStyle w:val="Heading2"/>
      </w:pPr>
      <w:r>
        <w:t xml:space="preserve">4. Emission Calculation and GHG Protocol Categorization</w:t>
      </w:r>
    </w:p>
    <w:p>
      <w:pPr>
        <w:pStyle w:val="FirstParagraph"/>
      </w:pPr>
      <w:r>
        <w:t xml:space="preserve">The Product Carbon Footprint (PCF) for one functional unit of ilxtllyzxr is calculated as follows, categorized according to the GHG Protocol:</w:t>
      </w:r>
    </w:p>
    <w:bookmarkStart w:id="37" w:name="scope-1-emissions-direct-emissions"/>
    <w:p>
      <w:pPr>
        <w:pStyle w:val="Heading3"/>
      </w:pPr>
      <w:r>
        <w:t xml:space="preserve">4.1. Scope 1 Emissions (Direct Emissions)</w:t>
      </w:r>
    </w:p>
    <w:p>
      <w:pPr>
        <w:pStyle w:val="FirstParagraph"/>
      </w:pPr>
      <w:r>
        <w:t xml:space="preserve">Direct GHG emissions from sources owned or controlled by lqdixwtihp. For this PCF analysis, direct process emissions from manufacturing per unit are assumed to be negligible or are implicitly covered by the upstream material and energy factors.</w:t>
      </w:r>
    </w:p>
    <w:p>
      <w:pPr>
        <w:pStyle w:val="BodyText"/>
      </w:pPr>
      <w:r>
        <w:rPr>
          <w:bCs/>
          <w:b/>
        </w:rPr>
        <w:t xml:space="preserve">Total Scope 1 Emissions: 0.00 kg CO2e</w:t>
      </w:r>
    </w:p>
    <w:bookmarkEnd w:id="37"/>
    <w:bookmarkStart w:id="38" w:name="X2d8d685b47aa894fb1e052b68fb751e5e9e47f0"/>
    <w:p>
      <w:pPr>
        <w:pStyle w:val="Heading3"/>
      </w:pPr>
      <w:r>
        <w:t xml:space="preserve">4.2. Scope 2 Emissions (Energy Indirect Emissions)</w:t>
      </w:r>
    </w:p>
    <w:p>
      <w:pPr>
        <w:pStyle w:val="FirstParagraph"/>
      </w:pPr>
      <w:r>
        <w:t xml:space="preserve">Indirect GHG emissions from the generation of purchased electricity consumed by lqdixwtihp\'s manufacturing facilities in China.</w:t>
      </w:r>
    </w:p>
    <w:p>
      <w:pPr>
        <w:numPr>
          <w:ilvl w:val="0"/>
          <w:numId w:val="1008"/>
        </w:numPr>
        <w:pStyle w:val="Compact"/>
      </w:pPr>
      <w:r>
        <w:t xml:space="preserve">Purchased Non-Renewable Electricity: 10 kWh/unit × (1 - 0.75) = 2.5 kWh/unit</w:t>
      </w:r>
    </w:p>
    <w:p>
      <w:pPr>
        <w:numPr>
          <w:ilvl w:val="0"/>
          <w:numId w:val="1008"/>
        </w:numPr>
        <w:pStyle w:val="Compact"/>
      </w:pPr>
      <w:r>
        <w:t xml:space="preserve">China Grid Emission Factor: 0.65 kg CO2e/kWh</w:t>
      </w:r>
    </w:p>
    <w:p>
      <w:pPr>
        <w:numPr>
          <w:ilvl w:val="0"/>
          <w:numId w:val="1008"/>
        </w:numPr>
        <w:pStyle w:val="Compact"/>
      </w:pPr>
      <w:r>
        <w:t xml:space="preserve">Calculation: 2.5 kWh/unit × 0.65 kg CO2e/kWh = 1.625 kg CO2e/unit</w:t>
      </w:r>
    </w:p>
    <w:p>
      <w:pPr>
        <w:pStyle w:val="FirstParagraph"/>
      </w:pPr>
      <w:r>
        <w:rPr>
          <w:bCs/>
          <w:b/>
        </w:rPr>
        <w:t xml:space="preserve">Total Scope 2 Emissions: 1.63 kg CO2e</w:t>
      </w:r>
    </w:p>
    <w:bookmarkEnd w:id="38"/>
    <w:bookmarkStart w:id="43" w:name="Xa4ae47cf428664338de6136b1752768d982738f"/>
    <w:p>
      <w:pPr>
        <w:pStyle w:val="Heading3"/>
      </w:pPr>
      <w:r>
        <w:t xml:space="preserve">4.3. Scope 3 Emissions (Other Indirect Emissions - Value Chain)</w:t>
      </w:r>
    </w:p>
    <w:p>
      <w:pPr>
        <w:pStyle w:val="FirstParagraph"/>
      </w:pPr>
      <w:r>
        <w:t xml:space="preserve">All other indirect emissions occurring in the value chain of lqdixwtihp, both upstream and downstream. This analysis aims for at least 95% Scope 3 coverage.</w:t>
      </w:r>
    </w:p>
    <w:bookmarkStart w:id="39" w:name="X9b53c4fa7e02594ab9ced3552c7ef7a0db11ec7"/>
    <w:p>
      <w:pPr>
        <w:pStyle w:val="Heading4"/>
      </w:pPr>
      <w:r>
        <w:t xml:space="preserve">4.3.1. Category 1: Purchased Goods and Services (Material Acquisition)</w:t>
      </w:r>
    </w:p>
    <w:p>
      <w:pPr>
        <w:pStyle w:val="FirstParagraph"/>
      </w:pPr>
      <w:r>
        <w:t xml:space="preserve">Emissions associated with the extraction, production, and pre-processing of raw materials and components as detailed in the Bill of Materials (BOM).</w:t>
      </w:r>
    </w:p>
    <w:p>
      <w:pPr>
        <w:numPr>
          <w:ilvl w:val="0"/>
          <w:numId w:val="1009"/>
        </w:numPr>
        <w:pStyle w:val="Compact"/>
      </w:pPr>
      <w:r>
        <w:t xml:space="preserve">Total Material Emissions (from BOM): 5.60 kg CO2e</w:t>
      </w:r>
    </w:p>
    <w:p>
      <w:pPr>
        <w:pStyle w:val="FirstParagraph"/>
      </w:pPr>
      <w:r>
        <w:rPr>
          <w:bCs/>
          <w:b/>
        </w:rPr>
        <w:t xml:space="preserve">Subtotal Scope 3 - Materials: 5.60 kg CO2e</w:t>
      </w:r>
    </w:p>
    <w:bookmarkEnd w:id="39"/>
    <w:bookmarkStart w:id="40" w:name="X7c07ac5b90af2251297341d75866d0369a67669"/>
    <w:p>
      <w:pPr>
        <w:pStyle w:val="Heading4"/>
      </w:pPr>
      <w:r>
        <w:t xml:space="preserve">4.3.2. Category 4: Transportation and Distribution (Outbound Logistics)</w:t>
      </w:r>
    </w:p>
    <w:p>
      <w:pPr>
        <w:pStyle w:val="FirstParagraph"/>
      </w:pPr>
      <w:r>
        <w:t xml:space="preserve">Emissions from the transportation of the finished product from the factory to the end-customer.</w:t>
      </w:r>
    </w:p>
    <w:p>
      <w:pPr>
        <w:numPr>
          <w:ilvl w:val="0"/>
          <w:numId w:val="1010"/>
        </w:numPr>
        <w:pStyle w:val="Compact"/>
      </w:pPr>
      <w:r>
        <w:t xml:space="preserve">Product Mass: 0.85 kg (0.00085 tonnes)</w:t>
      </w:r>
    </w:p>
    <w:p>
      <w:pPr>
        <w:numPr>
          <w:ilvl w:val="0"/>
          <w:numId w:val="1010"/>
        </w:numPr>
        <w:pStyle w:val="Compact"/>
      </w:pPr>
      <w:r>
        <w:t xml:space="preserve">Primary Transport (Road Freight):</w:t>
      </w:r>
    </w:p>
    <w:p>
      <w:pPr>
        <w:numPr>
          <w:ilvl w:val="1"/>
          <w:numId w:val="1011"/>
        </w:numPr>
        <w:pStyle w:val="Compact"/>
      </w:pPr>
      <w:r>
        <w:t xml:space="preserve">Distance: 1500 km</w:t>
      </w:r>
    </w:p>
    <w:p>
      <w:pPr>
        <w:numPr>
          <w:ilvl w:val="1"/>
          <w:numId w:val="1011"/>
        </w:numPr>
        <w:pStyle w:val="Compact"/>
      </w:pPr>
      <w:r>
        <w:t xml:space="preserve">Emission Factor: 0.092 kg CO2e/tkm</w:t>
      </w:r>
    </w:p>
    <w:p>
      <w:pPr>
        <w:numPr>
          <w:ilvl w:val="1"/>
          <w:numId w:val="1011"/>
        </w:numPr>
        <w:pStyle w:val="Compact"/>
      </w:pPr>
      <w:r>
        <w:t xml:space="preserve">Calculation: 0.00085 t × 1500 km × 0.092 kg CO2e/tkm = 0.1173 kg CO2e</w:t>
      </w:r>
    </w:p>
    <w:p>
      <w:pPr>
        <w:numPr>
          <w:ilvl w:val="0"/>
          <w:numId w:val="1010"/>
        </w:numPr>
        <w:pStyle w:val="Compact"/>
      </w:pPr>
      <w:r>
        <w:t xml:space="preserve">Last-Mile Delivery (Parcel Delivery Van):</w:t>
      </w:r>
    </w:p>
    <w:p>
      <w:pPr>
        <w:numPr>
          <w:ilvl w:val="1"/>
          <w:numId w:val="1012"/>
        </w:numPr>
        <w:pStyle w:val="Compact"/>
      </w:pPr>
      <w:r>
        <w:t xml:space="preserve">Allocated Distance: 5 km (assumption)</w:t>
      </w:r>
    </w:p>
    <w:p>
      <w:pPr>
        <w:numPr>
          <w:ilvl w:val="1"/>
          <w:numId w:val="1012"/>
        </w:numPr>
        <w:pStyle w:val="Compact"/>
      </w:pPr>
      <w:r>
        <w:t xml:space="preserve">Van Emission Factor: 0.15 kg CO2e/km</w:t>
      </w:r>
    </w:p>
    <w:p>
      <w:pPr>
        <w:numPr>
          <w:ilvl w:val="1"/>
          <w:numId w:val="1012"/>
        </w:numPr>
        <w:pStyle w:val="Compact"/>
      </w:pPr>
      <w:r>
        <w:t xml:space="preserve">Allocation (e.g., 100 units per van trip): (0.15 kg CO2e/km × 5 km) / 100 units = 0.0075 kg CO2e</w:t>
      </w:r>
    </w:p>
    <w:p>
      <w:pPr>
        <w:numPr>
          <w:ilvl w:val="0"/>
          <w:numId w:val="1010"/>
        </w:numPr>
        <w:pStyle w:val="Compact"/>
      </w:pPr>
      <w:r>
        <w:t xml:space="preserve">Total Transport Emissions: 0.1173 kg CO2e + 0.0075 kg CO2e = 0.1248 kg CO2e</w:t>
      </w:r>
    </w:p>
    <w:p>
      <w:pPr>
        <w:pStyle w:val="FirstParagraph"/>
      </w:pPr>
      <w:r>
        <w:rPr>
          <w:bCs/>
          <w:b/>
        </w:rPr>
        <w:t xml:space="preserve">Subtotal Scope 3 - Transport: 0.12 kg CO2e</w:t>
      </w:r>
    </w:p>
    <w:bookmarkEnd w:id="40"/>
    <w:bookmarkStart w:id="41" w:name="category-11-use-of-sold-products"/>
    <w:p>
      <w:pPr>
        <w:pStyle w:val="Heading4"/>
      </w:pPr>
      <w:r>
        <w:t xml:space="preserve">4.3.3. Category 11: Use of Sold Products</w:t>
      </w:r>
    </w:p>
    <w:p>
      <w:pPr>
        <w:pStyle w:val="FirstParagraph"/>
      </w:pPr>
      <w:r>
        <w:t xml:space="preserve">Emissions arising from the energy consumption of ilxtllyzxr during its typical lifespan by the end-user.</w:t>
      </w:r>
    </w:p>
    <w:p>
      <w:pPr>
        <w:numPr>
          <w:ilvl w:val="0"/>
          <w:numId w:val="1013"/>
        </w:numPr>
        <w:pStyle w:val="Compact"/>
      </w:pPr>
      <w:r>
        <w:t xml:space="preserve">Product Lifespan: 5 years</w:t>
      </w:r>
    </w:p>
    <w:p>
      <w:pPr>
        <w:numPr>
          <w:ilvl w:val="0"/>
          <w:numId w:val="1013"/>
        </w:numPr>
        <w:pStyle w:val="Compact"/>
      </w:pPr>
      <w:r>
        <w:t xml:space="preserve">Energy Consumption in Use: 20 kWh/year</w:t>
      </w:r>
    </w:p>
    <w:p>
      <w:pPr>
        <w:numPr>
          <w:ilvl w:val="0"/>
          <w:numId w:val="1013"/>
        </w:numPr>
        <w:pStyle w:val="Compact"/>
      </w:pPr>
      <w:r>
        <w:t xml:space="preserve">Total Energy Consumption: 5 years × 20 kWh/year = 100 kWh</w:t>
      </w:r>
    </w:p>
    <w:p>
      <w:pPr>
        <w:numPr>
          <w:ilvl w:val="0"/>
          <w:numId w:val="1013"/>
        </w:numPr>
        <w:pStyle w:val="Compact"/>
      </w:pPr>
      <w:r>
        <w:t xml:space="preserve">EU Average Grid Emission Factor: 0.181 kg CO2e/kWh</w:t>
      </w:r>
    </w:p>
    <w:p>
      <w:pPr>
        <w:numPr>
          <w:ilvl w:val="0"/>
          <w:numId w:val="1013"/>
        </w:numPr>
        <w:pStyle w:val="Compact"/>
      </w:pPr>
      <w:r>
        <w:t xml:space="preserve">Calculation: 100 kWh × 0.181 kg CO2e/kWh = 18.10 kg CO2e</w:t>
      </w:r>
    </w:p>
    <w:p>
      <w:pPr>
        <w:pStyle w:val="FirstParagraph"/>
      </w:pPr>
      <w:r>
        <w:rPr>
          <w:bCs/>
          <w:b/>
        </w:rPr>
        <w:t xml:space="preserve">Subtotal Scope 3 - Use Phase: 18.10 kg CO2e</w:t>
      </w:r>
    </w:p>
    <w:bookmarkEnd w:id="41"/>
    <w:bookmarkStart w:id="42" w:name="X9f66eef2700632e081dfe139021cb724ffcd2c5"/>
    <w:p>
      <w:pPr>
        <w:pStyle w:val="Heading4"/>
      </w:pPr>
      <w:r>
        <w:t xml:space="preserve">4.3.4. Category 12: End-of-Life Treatment of Sold Products</w:t>
      </w:r>
    </w:p>
    <w:p>
      <w:pPr>
        <w:pStyle w:val="FirstParagraph"/>
      </w:pPr>
      <w:r>
        <w:t xml:space="preserve">Emissions (or avoided emissions/credits) associated with the disposal and recycling of the product at the end of its life. The analysis incorporates an 80% recyclability rate and the existence of a product take-back scheme.</w:t>
      </w:r>
    </w:p>
    <w:p>
      <w:pPr>
        <w:numPr>
          <w:ilvl w:val="0"/>
          <w:numId w:val="1014"/>
        </w:numPr>
        <w:pStyle w:val="Compact"/>
      </w:pPr>
      <w:r>
        <w:t xml:space="preserve">Recyclability Percentage: 80%</w:t>
      </w:r>
    </w:p>
    <w:p>
      <w:pPr>
        <w:numPr>
          <w:ilvl w:val="0"/>
          <w:numId w:val="1014"/>
        </w:numPr>
        <w:pStyle w:val="Compact"/>
      </w:pPr>
      <w:r>
        <w:t xml:space="preserve">Base Material Emissions (for credit calculation): 5.60 kg CO2e</w:t>
      </w:r>
    </w:p>
    <w:p>
      <w:pPr>
        <w:numPr>
          <w:ilvl w:val="0"/>
          <w:numId w:val="1014"/>
        </w:numPr>
        <w:pStyle w:val="Compact"/>
      </w:pPr>
      <w:r>
        <w:t xml:space="preserve">Recycling Avoidance Factor: 0.7 (reflecting avoided virgin material production)</w:t>
      </w:r>
    </w:p>
    <w:p>
      <w:pPr>
        <w:numPr>
          <w:ilvl w:val="0"/>
          <w:numId w:val="1014"/>
        </w:numPr>
        <w:pStyle w:val="Compact"/>
      </w:pPr>
      <w:r>
        <w:t xml:space="preserve">Calculation (Avoided Emissions): 5.60 kg CO2e × 0.80 × 0.7 = -3.136 kg CO2e (credit)</w:t>
      </w:r>
    </w:p>
    <w:p>
      <w:pPr>
        <w:pStyle w:val="FirstParagraph"/>
      </w:pPr>
      <w:r>
        <w:rPr>
          <w:bCs/>
          <w:b/>
        </w:rPr>
        <w:t xml:space="preserve">Subtotal Scope 3 - End-of-Life: -3.14 kg CO2e</w:t>
      </w:r>
    </w:p>
    <w:bookmarkEnd w:id="42"/>
    <w:bookmarkEnd w:id="43"/>
    <w:bookmarkStart w:id="44" w:name="X641ccb4652c038ceac0302942053b2292a3d462"/>
    <w:p>
      <w:pPr>
        <w:pStyle w:val="Heading3"/>
      </w:pPr>
      <w:r>
        <w:t xml:space="preserve">4.4. Summary of Emissions by GHG Protocol Scope</w:t>
      </w:r>
    </w:p>
    <w:p>
      <w:pPr>
        <w:pStyle w:val="FirstParagraph"/>
      </w:pPr>
      <w:r>
        <w:t xml:space="preserve">The total Product Carbon Footprint for one unit of ilxtllyzxr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1.63</w:t>
            </w:r>
          </w:p>
        </w:tc>
        <w:tc>
          <w:tcPr/>
          <w:p>
            <w:pPr>
              <w:pStyle w:val="Compact"/>
              <w:jc w:val="left"/>
            </w:pPr>
            <w:r>
              <w:t xml:space="preserve">7.31%</w:t>
            </w:r>
          </w:p>
        </w:tc>
      </w:tr>
      <w:tr>
        <w:tc>
          <w:tcPr/>
          <w:p>
            <w:pPr>
              <w:pStyle w:val="Compact"/>
              <w:jc w:val="left"/>
            </w:pPr>
            <w:r>
              <w:t xml:space="preserve">Scope 3 (Value Chain - Upstream Materials)</w:t>
            </w:r>
          </w:p>
        </w:tc>
        <w:tc>
          <w:tcPr/>
          <w:p>
            <w:pPr>
              <w:pStyle w:val="Compact"/>
              <w:jc w:val="left"/>
            </w:pPr>
            <w:r>
              <w:t xml:space="preserve">5.60</w:t>
            </w:r>
          </w:p>
        </w:tc>
        <w:tc>
          <w:tcPr/>
          <w:p>
            <w:pPr>
              <w:pStyle w:val="Compact"/>
              <w:jc w:val="left"/>
            </w:pPr>
            <w:r>
              <w:t xml:space="preserve">25.09%</w:t>
            </w:r>
          </w:p>
        </w:tc>
      </w:tr>
      <w:tr>
        <w:tc>
          <w:tcPr/>
          <w:p>
            <w:pPr>
              <w:pStyle w:val="Compact"/>
              <w:jc w:val="left"/>
            </w:pPr>
            <w:r>
              <w:t xml:space="preserve">Scope 3 (Value Chain - Downstream Transport)</w:t>
            </w:r>
          </w:p>
        </w:tc>
        <w:tc>
          <w:tcPr/>
          <w:p>
            <w:pPr>
              <w:pStyle w:val="Compact"/>
              <w:jc w:val="left"/>
            </w:pPr>
            <w:r>
              <w:t xml:space="preserve">0.12</w:t>
            </w:r>
          </w:p>
        </w:tc>
        <w:tc>
          <w:tcPr/>
          <w:p>
            <w:pPr>
              <w:pStyle w:val="Compact"/>
              <w:jc w:val="left"/>
            </w:pPr>
            <w:r>
              <w:t xml:space="preserve">0.54%</w:t>
            </w:r>
          </w:p>
        </w:tc>
      </w:tr>
      <w:tr>
        <w:tc>
          <w:tcPr/>
          <w:p>
            <w:pPr>
              <w:pStyle w:val="Compact"/>
              <w:jc w:val="left"/>
            </w:pPr>
            <w:r>
              <w:t xml:space="preserve">Scope 3 (Value Chain - Downstream Use Phase)</w:t>
            </w:r>
          </w:p>
        </w:tc>
        <w:tc>
          <w:tcPr/>
          <w:p>
            <w:pPr>
              <w:pStyle w:val="Compact"/>
              <w:jc w:val="left"/>
            </w:pPr>
            <w:r>
              <w:t xml:space="preserve">18.10</w:t>
            </w:r>
          </w:p>
        </w:tc>
        <w:tc>
          <w:tcPr/>
          <w:p>
            <w:pPr>
              <w:pStyle w:val="Compact"/>
              <w:jc w:val="left"/>
            </w:pPr>
            <w:r>
              <w:t xml:space="preserve">81.12%</w:t>
            </w:r>
          </w:p>
        </w:tc>
      </w:tr>
      <w:tr>
        <w:tc>
          <w:tcPr/>
          <w:p>
            <w:pPr>
              <w:pStyle w:val="Compact"/>
              <w:jc w:val="left"/>
            </w:pPr>
            <w:r>
              <w:t xml:space="preserve">Scope 3 (Value Chain - Downstream End-of-Life)</w:t>
            </w:r>
          </w:p>
        </w:tc>
        <w:tc>
          <w:tcPr/>
          <w:p>
            <w:pPr>
              <w:pStyle w:val="Compact"/>
              <w:jc w:val="left"/>
            </w:pPr>
            <w:r>
              <w:t xml:space="preserve">-3.14</w:t>
            </w:r>
          </w:p>
        </w:tc>
        <w:tc>
          <w:tcPr/>
          <w:p>
            <w:pPr>
              <w:pStyle w:val="Compact"/>
              <w:jc w:val="left"/>
            </w:pPr>
            <w:r>
              <w:t xml:space="preserve">-14.07%</w:t>
            </w:r>
          </w:p>
        </w:tc>
      </w:tr>
      <w:tr>
        <w:tc>
          <w:tcPr/>
          <w:p>
            <w:pPr>
              <w:pStyle w:val="Compact"/>
              <w:jc w:val="left"/>
            </w:pPr>
            <w:r>
              <w:rPr>
                <w:bCs/>
                <w:b/>
              </w:rPr>
              <w:t xml:space="preserve">Total Product Carbon Footprint</w:t>
            </w:r>
          </w:p>
        </w:tc>
        <w:tc>
          <w:tcPr/>
          <w:p>
            <w:pPr>
              <w:pStyle w:val="Compact"/>
              <w:jc w:val="left"/>
            </w:pPr>
            <w:r>
              <w:rPr>
                <w:bCs/>
                <w:b/>
              </w:rPr>
              <w:t xml:space="preserve">22.31</w:t>
            </w:r>
          </w:p>
        </w:tc>
        <w:tc>
          <w:tcPr/>
          <w:p>
            <w:pPr>
              <w:pStyle w:val="Compact"/>
              <w:jc w:val="left"/>
            </w:pPr>
            <w:r>
              <w:rPr>
                <w:bCs/>
                <w:b/>
              </w:rPr>
              <w:t xml:space="preserve">100.00%</w:t>
            </w:r>
          </w:p>
        </w:tc>
      </w:tr>
    </w:tbl>
    <w:p>
      <w:pPr>
        <w:pStyle w:val="BodyText"/>
      </w:pPr>
      <w:r>
        <w:rPr>
          <w:iCs/>
          <w:i/>
        </w:rPr>
        <w:t xml:space="preserve">Note: Percentages may not sum to 100% due to rounding and the negative value from EoL credits.</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hotspot-analysis"/>
    <w:p>
      <w:pPr>
        <w:pStyle w:val="Heading3"/>
      </w:pPr>
      <w:r>
        <w:t xml:space="preserve">5.1. Hotspot Analysis</w:t>
      </w:r>
    </w:p>
    <w:p>
      <w:pPr>
        <w:pStyle w:val="FirstParagraph"/>
      </w:pPr>
      <w:r>
        <w:t xml:space="preserve">The analysis clearly identifies the</w:t>
      </w:r>
      <w:r>
        <w:t xml:space="preserve"> </w:t>
      </w:r>
      <w:r>
        <w:rPr>
          <w:bCs/>
          <w:b/>
        </w:rPr>
        <w:t xml:space="preserve">Use Phase (18.10 kg CO2e, 81.12%)</w:t>
      </w:r>
      <w:r>
        <w:t xml:space="preserve"> </w:t>
      </w:r>
      <w:r>
        <w:t xml:space="preserve">as the most significant contributor to the total carbon footprint of ilxtllyzxr. This is followed by</w:t>
      </w:r>
      <w:r>
        <w:t xml:space="preserve"> </w:t>
      </w:r>
      <w:r>
        <w:rPr>
          <w:bCs/>
          <w:b/>
        </w:rPr>
        <w:t xml:space="preserve">Material Acquisition (5.60 kg CO2e, 25.09%)</w:t>
      </w:r>
      <w:r>
        <w:t xml:space="preserve">. The production energy and transportation phases contribute a smaller, but still notable, portion of the emissions. The circular economy initiatives at End-of-Life provide a significant credit, reducing the overall footprint.</w:t>
      </w:r>
    </w:p>
    <w:p>
      <w:pPr>
        <w:numPr>
          <w:ilvl w:val="0"/>
          <w:numId w:val="1015"/>
        </w:numPr>
        <w:pStyle w:val="Compact"/>
      </w:pPr>
      <w:r>
        <w:rPr>
          <w:bCs/>
          <w:b/>
        </w:rPr>
        <w:t xml:space="preserve">Primary Hotspot:</w:t>
      </w:r>
      <w:r>
        <w:t xml:space="preserve"> </w:t>
      </w:r>
      <w:r>
        <w:t xml:space="preserve">Use Phase, largely driven by energy consumption over the product\'s 5-year lifespan.</w:t>
      </w:r>
    </w:p>
    <w:p>
      <w:pPr>
        <w:numPr>
          <w:ilvl w:val="0"/>
          <w:numId w:val="1015"/>
        </w:numPr>
        <w:pStyle w:val="Compact"/>
      </w:pPr>
      <w:r>
        <w:rPr>
          <w:bCs/>
          <w:b/>
        </w:rPr>
        <w:t xml:space="preserve">Secondary Hotspot:</w:t>
      </w:r>
      <w:r>
        <w:t xml:space="preserve"> </w:t>
      </w:r>
      <w:r>
        <w:t xml:space="preserve">Upstream Material Acquisition, highlighting the importance of sustainable material choices.</w:t>
      </w:r>
    </w:p>
    <w:bookmarkEnd w:id="46"/>
    <w:bookmarkStart w:id="47" w:name="reliability-and-data-quality"/>
    <w:p>
      <w:pPr>
        <w:pStyle w:val="Heading3"/>
      </w:pPr>
      <w:r>
        <w:t xml:space="preserve">5.2. Reliability and Data Quality</w:t>
      </w:r>
    </w:p>
    <w:p>
      <w:pPr>
        <w:pStyle w:val="FirstParagraph"/>
      </w:pPr>
      <w:r>
        <w:t xml:space="preserve">The reliability of this PCF analysis is considered high, benefiting from specific primary data provided by lqdixwtihp for the Bill of Materials, energy usage, product lifespan, and EoL scenarios. Industry-standard emission factors from reputable sources were applied, ensuring consistency and comparability. Assumptions for generic parameters (e.g., last-mile delivery allocation, recycling avoidance factor) have been clearly stated, maintaining transparency. The commitment to 95% Scope 3 coverage ensures a comprehensive assessment of the value chain.</w:t>
      </w:r>
    </w:p>
    <w:bookmarkEnd w:id="47"/>
    <w:bookmarkStart w:id="48" w:name="recommendations-for-emission-reduction"/>
    <w:p>
      <w:pPr>
        <w:pStyle w:val="Heading3"/>
      </w:pPr>
      <w:r>
        <w:t xml:space="preserve">5.3. Recommendations for Emission Reduction</w:t>
      </w:r>
    </w:p>
    <w:p>
      <w:pPr>
        <w:pStyle w:val="FirstParagraph"/>
      </w:pPr>
      <w:r>
        <w:t xml:space="preserve">Based on this PCF analysis, lqdixwtihp is recommended to focus on the following areas for emission reduction:</w:t>
      </w:r>
    </w:p>
    <w:p>
      <w:pPr>
        <w:numPr>
          <w:ilvl w:val="0"/>
          <w:numId w:val="1016"/>
        </w:numPr>
        <w:pStyle w:val="Compact"/>
      </w:pPr>
      <w:r>
        <w:rPr>
          <w:bCs/>
          <w:b/>
        </w:rPr>
        <w:t xml:space="preserve">Optimize Use Phase Energy Efficiency:</w:t>
      </w:r>
      <w:r>
        <w:t xml:space="preserve"> </w:t>
      </w:r>
      <w:r>
        <w:t xml:space="preserve">Redesign ilxtllyzxr for lower energy consumption during its use. This could involve more efficient components, power-saving modes, or longer product lifespan if it reduces the need for replacements.</w:t>
      </w:r>
    </w:p>
    <w:p>
      <w:pPr>
        <w:numPr>
          <w:ilvl w:val="0"/>
          <w:numId w:val="1016"/>
        </w:numPr>
        <w:pStyle w:val="Compact"/>
      </w:pPr>
      <w:r>
        <w:rPr>
          <w:bCs/>
          <w:b/>
        </w:rPr>
        <w:t xml:space="preserve">Enhance Renewable Energy Adoption in Use:</w:t>
      </w:r>
      <w:r>
        <w:t xml:space="preserve"> </w:t>
      </w:r>
      <w:r>
        <w:t xml:space="preserve">Encourage customers to use renewable energy sources through product features or information campaigns, especially in regions with high grid intensity.</w:t>
      </w:r>
    </w:p>
    <w:p>
      <w:pPr>
        <w:numPr>
          <w:ilvl w:val="0"/>
          <w:numId w:val="1016"/>
        </w:numPr>
        <w:pStyle w:val="Compact"/>
      </w:pPr>
      <w:r>
        <w:rPr>
          <w:bCs/>
          <w:b/>
        </w:rPr>
        <w:t xml:space="preserve">Sustainable Material Sourcing:</w:t>
      </w:r>
      <w:r>
        <w:t xml:space="preserve"> </w:t>
      </w:r>
      <w:r>
        <w:t xml:space="preserve">Investigate and implement alternative materials with lower inherent carbon footprints for components like the aluminum casing and plastic housing. Prioritize suppliers with strong environmental performance.</w:t>
      </w:r>
    </w:p>
    <w:p>
      <w:pPr>
        <w:numPr>
          <w:ilvl w:val="0"/>
          <w:numId w:val="1016"/>
        </w:numPr>
        <w:pStyle w:val="Compact"/>
      </w:pPr>
      <w:r>
        <w:rPr>
          <w:bCs/>
          <w:b/>
        </w:rPr>
        <w:t xml:space="preserve">Strengthen Circularity:</w:t>
      </w:r>
      <w:r>
        <w:t xml:space="preserve"> </w:t>
      </w:r>
      <w:r>
        <w:t xml:space="preserve">Continue to develop and promote the product take-back scheme. Explore options to increase the recyclability percentage beyond 80% and investigate materials with higher recycling yields and lower energy demands for recovery.</w:t>
      </w:r>
    </w:p>
    <w:p>
      <w:pPr>
        <w:numPr>
          <w:ilvl w:val="0"/>
          <w:numId w:val="1016"/>
        </w:numPr>
        <w:pStyle w:val="Compact"/>
      </w:pPr>
      <w:r>
        <w:rPr>
          <w:bCs/>
          <w:b/>
        </w:rPr>
        <w:t xml:space="preserve">Logistics Optimization:</w:t>
      </w:r>
      <w:r>
        <w:t xml:space="preserve"> </w:t>
      </w:r>
      <w:r>
        <w:t xml:space="preserve">While a smaller contributor, further optimize transport routes, explore lower-emission transport modes where feasible, and maximize loading efficiency to reduce per-unit transport emissions.</w:t>
      </w:r>
    </w:p>
    <w:p>
      <w:pPr>
        <w:pStyle w:val="FirstParagraph"/>
      </w:pPr>
      <w:r>
        <w:t xml:space="preserve">This report serves as a foundational step for lqdixwtihp in its sustainability journey, providing a clear picture of the product\'s environmental impact and guiding future decarbonization efforts.</w:t>
      </w:r>
    </w:p>
    <w:p>
      <w:r>
        <w:pict>
          <v:rect style="width:0;height:1.5pt" o:hralign="center" o:hrstd="t" o:hr="t"/>
        </w:pict>
      </w:r>
    </w:p>
    <w:p>
      <w:pPr>
        <w:pStyle w:val="FirstParagraph"/>
      </w:pPr>
      <w:r>
        <w:t xml:space="preserve">Confidential - Internal Use Only | Page</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ilxtllyzxr</dc:title>
  <dc:creator/>
  <dc:description>Detailed Product Carbon Footprint (PCF) analysis report for ilxtllyzxr, performed by Senior Sustainability Consultant jrumdduxij for lqdixwtihp, adhering to GHG Protocol and 2026 LSR Update.</dc:description>
  <dc:language>en</dc:language>
  <cp:keywords/>
  <dcterms:created xsi:type="dcterms:W3CDTF">2026-07-15T07:06:08Z</dcterms:created>
  <dcterms:modified xsi:type="dcterms:W3CDTF">2026-07-15T07:06:08Z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