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ilfqkywkmr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ilfqkywkmr</w:t>
      </w:r>
    </w:p>
    <w:p>
      <w:pPr>
        <w:pStyle w:val="BodyText"/>
      </w:pPr>
      <w:r>
        <w:rPr>
          <w:bCs/>
          <w:b/>
        </w:rPr>
        <w:t xml:space="preserve">Company:</w:t>
      </w:r>
      <w:r>
        <w:t xml:space="preserve"> </w:t>
      </w:r>
      <w:r>
        <w:t xml:space="preserve">xywhgwxuwq</w:t>
      </w:r>
    </w:p>
    <w:p>
      <w:pPr>
        <w:pStyle w:val="BodyText"/>
      </w:pPr>
      <w:r>
        <w:rPr>
          <w:bCs/>
          <w:b/>
        </w:rPr>
        <w:t xml:space="preserve">Senior Sustainability Consultant:</w:t>
      </w:r>
      <w:r>
        <w:t xml:space="preserve"> </w:t>
      </w:r>
      <w:r>
        <w:t xml:space="preserve">eerpoywxsr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actual emissions may vary based on specific operational details and data availability. This document is for informational purposes and internal use unless otherwise specified.</w:t>
      </w:r>
    </w:p>
    <w:bookmarkEnd w:id="20"/>
    <w:bookmarkStart w:id="45" w:name="X84c92a6cec5e4320f41f0af33fef8a6f2166c9d"/>
    <w:p>
      <w:pPr>
        <w:pStyle w:val="Heading1"/>
      </w:pPr>
      <w:r>
        <w:t xml:space="preserve">Product Carbon Footprint Analysis Report: ilfqkywkmr</w:t>
      </w:r>
    </w:p>
    <w:p>
      <w:pPr>
        <w:pStyle w:val="FirstParagraph"/>
      </w:pPr>
      <w:r>
        <w:rPr>
          <w:bCs/>
          <w:b/>
        </w:rPr>
        <w:t xml:space="preserve">Generated Date:</w:t>
      </w:r>
      <w:r>
        <w:t xml:space="preserve"> </w:t>
      </w:r>
      <w:r>
        <w:t xml:space="preserve">June 2, 2026</w:t>
      </w:r>
    </w:p>
    <w:p>
      <w:pPr>
        <w:pStyle w:val="BodyText"/>
      </w:pPr>
      <w:r>
        <w:rPr>
          <w:bCs/>
          <w:b/>
        </w:rPr>
        <w:t xml:space="preserve">Prepared for:</w:t>
      </w:r>
      <w:r>
        <w:t xml:space="preserve"> </w:t>
      </w:r>
      <w:r>
        <w:t xml:space="preserve">xywhgwxuwq</w:t>
      </w:r>
    </w:p>
    <w:p>
      <w:pPr>
        <w:pStyle w:val="BodyText"/>
      </w:pPr>
      <w:r>
        <w:rPr>
          <w:bCs/>
          <w:b/>
        </w:rPr>
        <w:t xml:space="preserve">Prepared by:</w:t>
      </w:r>
      <w:r>
        <w:t xml:space="preserve"> </w:t>
      </w:r>
      <w:r>
        <w:t xml:space="preserve">eerpoywxsr,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\'ilfqkywkmr\', manufactured by xywhgwxuwq. The assessment follows the Greenhouse Gas (GHG) Protocol standards, incorporating the latest 2026 Land Sector and Removals (LSR) update and ensuring robust Scope 3 compliance. The analysis aims to quantify the total greenhouse gas emissions associated with the product\'s entire lifecycle, from material acquisition to end-of-life, identifying key emission hotspots and opportunities for reduction.</w:t>
      </w:r>
    </w:p>
    <w:p>
      <w:pPr>
        <w:pStyle w:val="BodyText"/>
      </w:pPr>
      <w:r>
        <w:t xml:space="preserve">The total carbon footprint for one functional unit of \'ilfqkywkmr\' is calculated to be approximately</w:t>
      </w:r>
      <w:r>
        <w:t xml:space="preserve"> </w:t>
      </w:r>
      <w:r>
        <w:rPr>
          <w:bCs/>
          <w:b/>
        </w:rPr>
        <w:t xml:space="preserve">23.92 kg CO2e</w:t>
      </w:r>
      <w:r>
        <w:t xml:space="preserve">. The use phase is identified as the most significant contributor to the overall footprint, followed by material acquisition and manufacturing. Significant efforts in circular economy programs, particularly recycling, provide a net carbon removal benefit at the end-of-life stage.</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\'ilfqkywkmr\'</w:t>
      </w:r>
      <w:r>
        <w:t xml:space="preserve">, providing its intended service over its expected lifespan. This unit serves as the reference basis for all quantified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analysis is "cradle-to-grave", encompassing all stages from raw material extraction (cradle) through manufacturing, distribution, use, and finally to end-of-life disposal or recycling (grave). While the primary focus for production emissions is "factory_gate", the analysis extends to cover downstream emissions as required by comprehensive PCF reporting and Scope 3 compliance.</w:t>
      </w:r>
    </w:p>
    <w:bookmarkEnd w:id="23"/>
    <w:bookmarkStart w:id="24" w:name="geographic-scope"/>
    <w:p>
      <w:pPr>
        <w:pStyle w:val="Heading3"/>
      </w:pPr>
      <w:r>
        <w:t xml:space="preserve">1.3 Geographic Scope</w:t>
      </w:r>
    </w:p>
    <w:p>
      <w:pPr>
        <w:pStyle w:val="FirstParagraph"/>
      </w:pPr>
      <w:r>
        <w:t xml:space="preserve">The geographic scope of this assessment includes: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(indicating key material sourcing and/or market destination)</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1.5 Allocation</w:t>
      </w:r>
    </w:p>
    <w:p>
      <w:pPr>
        <w:pStyle w:val="FirstParagraph"/>
      </w:pPr>
      <w:r>
        <w:t xml:space="preserve">Emissions are allocated directly to the functional unit where possible. For shared processes (e.g., utility consumption in a multi-product factory), emissions are allocated based on a pragmatic approach, typically mass or energy consumption proportional to the product\'s contribution to the shared process. For this report, direct allocation to \'ilfqkywkmr\' is assumed based on specific data provided or reasonable estimates per unit.</w:t>
      </w:r>
    </w:p>
    <w:p>
      <w:r>
        <w:pict>
          <v:rect style="width:0;height:1.5pt" o:hralign="center" o:hrstd="t" o:hr="t"/>
        </w:pict>
      </w:r>
    </w:p>
    <w:bookmarkEnd w:id="26"/>
    <w:bookmarkEnd w:id="27"/>
    <w:bookmarkStart w:id="33" w:name="mapping-the-lifecycle-3.-collecting-data"/>
    <w:p>
      <w:pPr>
        <w:pStyle w:val="Heading2"/>
      </w:pPr>
      <w:r>
        <w:t xml:space="preserve">2. Mapping the Lifecycle &amp; 3. Collecting Data</w:t>
      </w:r>
    </w:p>
    <w:p>
      <w:pPr>
        <w:pStyle w:val="FirstParagraph"/>
      </w:pPr>
      <w:r>
        <w:t xml:space="preserve">The lifecycle of \'ilfqkywkmr\' is mapped across the following stages: Material Acquisition &amp; Pre-processing, Manufacturing, Transport (Upstream &amp; Downstream), Use Phase, and End-of-Life. Data collection involved primary data where available and secondary, industry-average emission factors from reputable databases such as Ecoinvent and DEFRA for high accuracy. This section details the key inputs for each stage.</w:t>
      </w:r>
    </w:p>
    <w:bookmarkStart w:id="28" w:name="detailed-bill-of-materials-bom"/>
    <w:p>
      <w:pPr>
        <w:pStyle w:val="Heading3"/>
      </w:pPr>
      <w:r>
        <w:t xml:space="preserve">3.1 Detailed Bill of Materials (BOM)</w:t>
      </w:r>
    </w:p>
    <w:p>
      <w:pPr>
        <w:pStyle w:val="FirstParagraph"/>
      </w:pPr>
      <w:r>
        <w:t xml:space="preserve">The following table presents the detailed Bill of Materials (BOM) for \'ilfqkywkmr\', including quantities and associated cradle-to-gate emission factors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 (Virgin ABS)</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3.10</w:t>
            </w:r>
          </w:p>
        </w:tc>
        <w:tc>
          <w:tcPr/>
          <w:p>
            <w:pPr>
              <w:pStyle w:val="Compact"/>
              <w:jc w:val="left"/>
            </w:pPr>
            <w:r>
              <w:t xml:space="preserve">0.62</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Battery 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0.80</w:t>
            </w:r>
          </w:p>
        </w:tc>
      </w:tr>
      <w:tr>
        <w:tc>
          <w:tcPr/>
          <w:p>
            <w:pPr>
              <w:pStyle w:val="Compact"/>
              <w:jc w:val="left"/>
            </w:pPr>
            <w:r>
              <w:t xml:space="preserve">M006</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Corrugated Cardboard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0.045</w:t>
            </w:r>
          </w:p>
        </w:tc>
      </w:tr>
      <w:tr>
        <w:tc>
          <w:tcPr>
            <w:gridSpan w:val="7"/>
          </w:tcPr>
          <w:p>
            <w:pPr>
              <w:pStyle w:val="Compact"/>
              <w:jc w:val="right"/>
            </w:pPr>
            <w:r>
              <w:rPr>
                <w:bCs/>
                <w:b/>
              </w:rPr>
              <w:t xml:space="preserve">Total Material Emissions:</w:t>
            </w:r>
          </w:p>
        </w:tc>
        <w:tc>
          <w:tcPr/>
          <w:p>
            <w:pPr>
              <w:pStyle w:val="Compact"/>
              <w:jc w:val="left"/>
            </w:pPr>
            <w:r>
              <w:rPr>
                <w:bCs/>
                <w:b/>
              </w:rPr>
              <w:t xml:space="preserve">3.095</w:t>
            </w:r>
          </w:p>
        </w:tc>
      </w:tr>
    </w:tbl>
    <w:bookmarkEnd w:id="28"/>
    <w:bookmarkStart w:id="29" w:name="production-phase-energy-inputs"/>
    <w:p>
      <w:pPr>
        <w:pStyle w:val="Heading3"/>
      </w:pPr>
      <w:r>
        <w:t xml:space="preserve">3.2 Production Phase Energy Inputs</w:t>
      </w:r>
    </w:p>
    <w:p>
      <w:pPr>
        <w:pStyle w:val="FirstParagraph"/>
      </w:pPr>
      <w:r>
        <w:t xml:space="preserve">Energy consumption during the production phase in China has been customized:</w:t>
      </w:r>
    </w:p>
    <w:p>
      <w:pPr>
        <w:numPr>
          <w:ilvl w:val="0"/>
          <w:numId w:val="1002"/>
        </w:numPr>
        <w:pStyle w:val="Compact"/>
      </w:pPr>
      <w:r>
        <w:rPr>
          <w:bCs/>
          <w:b/>
        </w:rPr>
        <w:t xml:space="preserve">Energy Intensity (kWh/unit):</w:t>
      </w:r>
      <w:r>
        <w:t xml:space="preserve"> </w:t>
      </w:r>
      <w:r>
        <w:t xml:space="preserve">20.0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energy consumption:</w:t>
      </w:r>
      <w:r>
        <w:t xml:space="preserve"> </w:t>
      </w:r>
      <w:r>
        <w:t xml:space="preserve">20.0 kWh * (1 - 0.60) = 8.0 kWh</w:t>
      </w:r>
    </w:p>
    <w:p>
      <w:pPr>
        <w:numPr>
          <w:ilvl w:val="0"/>
          <w:numId w:val="1002"/>
        </w:numPr>
        <w:pStyle w:val="Compact"/>
      </w:pPr>
      <w:r>
        <w:rPr>
          <w:bCs/>
          <w:b/>
        </w:rPr>
        <w:t xml:space="preserve">China Electricity Grid Emission Factor:</w:t>
      </w:r>
      <w:r>
        <w:t xml:space="preserve"> </w:t>
      </w:r>
      <w:r>
        <w:t xml:space="preserve">0.65 kg CO2e/kWh (approximate national average for China)</w:t>
      </w:r>
    </w:p>
    <w:p>
      <w:pPr>
        <w:numPr>
          <w:ilvl w:val="0"/>
          <w:numId w:val="1002"/>
        </w:numPr>
        <w:pStyle w:val="Compact"/>
      </w:pPr>
      <w:r>
        <w:rPr>
          <w:bCs/>
          <w:b/>
        </w:rPr>
        <w:t xml:space="preserve">Assumed Scope 1 Direct Emissions:</w:t>
      </w:r>
      <w:r>
        <w:t xml:space="preserve"> </w:t>
      </w:r>
      <w:r>
        <w:t xml:space="preserve">0.1 kg CO2e/unit (for on-site fuel combustion, e.g., forklifts, heating)</w:t>
      </w:r>
    </w:p>
    <w:bookmarkEnd w:id="29"/>
    <w:bookmarkStart w:id="30" w:name="logistics-data"/>
    <w:p>
      <w:pPr>
        <w:pStyle w:val="Heading3"/>
      </w:pPr>
      <w:r>
        <w:t xml:space="preserve">3.3 Logistics Data</w:t>
      </w:r>
    </w:p>
    <w:p>
      <w:pPr>
        <w:pStyle w:val="FirstParagraph"/>
      </w:pPr>
      <w:r>
        <w:t xml:space="preserve">Specific logistics data has been incorporated into the supply chain analysis:</w:t>
      </w:r>
    </w:p>
    <w:p>
      <w:pPr>
        <w:numPr>
          <w:ilvl w:val="0"/>
          <w:numId w:val="1003"/>
        </w:numPr>
        <w:pStyle w:val="Compact"/>
      </w:pPr>
      <w:r>
        <w:rPr>
          <w:bCs/>
          <w:b/>
        </w:rPr>
        <w:t xml:space="preserve">Upstream Transport (Materials to China Factory):</w:t>
      </w:r>
      <w:r>
        <w:t xml:space="preserve"> </w:t>
      </w:r>
      <w:r>
        <w:t xml:space="preserve">An aggregated estimate of 1.8 kg CO2e/unit is used to cover various modes and distances for components sourced globally and delivered to the factory in China. This is a simplified aggregate for multiple legs and components.</w:t>
      </w:r>
    </w:p>
    <w:p>
      <w:pPr>
        <w:numPr>
          <w:ilvl w:val="0"/>
          <w:numId w:val="1003"/>
        </w:numPr>
        <w:pStyle w:val="Compact"/>
      </w:pPr>
      <w:r>
        <w:rPr>
          <w:bCs/>
          <w:b/>
        </w:rPr>
        <w:t xml:space="preserve">Downstream Transport (Finished Product to European Distribution Center):</w:t>
      </w:r>
    </w:p>
    <w:p>
      <w:pPr>
        <w:numPr>
          <w:ilvl w:val="1"/>
          <w:numId w:val="1004"/>
        </w:numPr>
        <w:pStyle w:val="Compact"/>
      </w:pPr>
      <w:r>
        <w:rPr>
          <w:bCs/>
          <w:b/>
        </w:rPr>
        <w:t xml:space="preserve">Mode:</w:t>
      </w:r>
      <w:r>
        <w:t xml:space="preserve"> </w:t>
      </w:r>
      <w:r>
        <w:t xml:space="preserve">Ocean freight (Container ship)</w:t>
      </w:r>
    </w:p>
    <w:p>
      <w:pPr>
        <w:numPr>
          <w:ilvl w:val="1"/>
          <w:numId w:val="1004"/>
        </w:numPr>
        <w:pStyle w:val="Compact"/>
      </w:pPr>
      <w:r>
        <w:rPr>
          <w:bCs/>
          <w:b/>
        </w:rPr>
        <w:t xml:space="preserve">Distance:</w:t>
      </w:r>
      <w:r>
        <w:t xml:space="preserve"> </w:t>
      </w:r>
      <w:r>
        <w:t xml:space="preserve">15,000 km</w:t>
      </w:r>
    </w:p>
    <w:p>
      <w:pPr>
        <w:numPr>
          <w:ilvl w:val="1"/>
          <w:numId w:val="1004"/>
        </w:numPr>
        <w:pStyle w:val="Compact"/>
      </w:pPr>
      <w:r>
        <w:rPr>
          <w:bCs/>
          <w:b/>
        </w:rPr>
        <w:t xml:space="preserve">Emission Factor:</w:t>
      </w:r>
      <w:r>
        <w:t xml:space="preserve"> </w:t>
      </w:r>
      <w:r>
        <w:t xml:space="preserve">0.015 kg CO2e/tkm</w:t>
      </w:r>
    </w:p>
    <w:p>
      <w:pPr>
        <w:numPr>
          <w:ilvl w:val="1"/>
          <w:numId w:val="1004"/>
        </w:numPr>
        <w:pStyle w:val="Compact"/>
      </w:pPr>
      <w:r>
        <w:rPr>
          <w:bCs/>
          <w:b/>
        </w:rPr>
        <w:t xml:space="preserve">Product Weight (with packaging):</w:t>
      </w:r>
      <w:r>
        <w:t xml:space="preserve"> </w:t>
      </w:r>
      <w:r>
        <w:t xml:space="preserve">0.5 kg (0.0005 tonnes)</w:t>
      </w:r>
    </w:p>
    <w:p>
      <w:pPr>
        <w:numPr>
          <w:ilvl w:val="0"/>
          <w:numId w:val="1003"/>
        </w:numPr>
        <w:pStyle w:val="Compact"/>
      </w:pPr>
      <w:r>
        <w:rPr>
          <w:bCs/>
          <w:b/>
        </w:rPr>
        <w:t xml:space="preserve">Last-Mile Delivery (European DC to Customer):</w:t>
      </w:r>
    </w:p>
    <w:p>
      <w:pPr>
        <w:numPr>
          <w:ilvl w:val="1"/>
          <w:numId w:val="1005"/>
        </w:numPr>
        <w:pStyle w:val="Compact"/>
      </w:pPr>
      <w:r>
        <w:rPr>
          <w:bCs/>
          <w:b/>
        </w:rPr>
        <w:t xml:space="preserve">Channel:</w:t>
      </w:r>
      <w:r>
        <w:t xml:space="preserve"> </w:t>
      </w:r>
      <w:r>
        <w:t xml:space="preserve">Light Commercial Vehicle (LCV)</w:t>
      </w:r>
    </w:p>
    <w:p>
      <w:pPr>
        <w:numPr>
          <w:ilvl w:val="1"/>
          <w:numId w:val="1005"/>
        </w:numPr>
        <w:pStyle w:val="Compact"/>
      </w:pPr>
      <w:r>
        <w:rPr>
          <w:bCs/>
          <w:b/>
        </w:rPr>
        <w:t xml:space="preserve">Distance:</w:t>
      </w:r>
      <w:r>
        <w:t xml:space="preserve"> </w:t>
      </w:r>
      <w:r>
        <w:t xml:space="preserve">500 km</w:t>
      </w:r>
    </w:p>
    <w:p>
      <w:pPr>
        <w:numPr>
          <w:ilvl w:val="1"/>
          <w:numId w:val="1005"/>
        </w:numPr>
        <w:pStyle w:val="Compact"/>
      </w:pPr>
      <w:r>
        <w:rPr>
          <w:bCs/>
          <w:b/>
        </w:rPr>
        <w:t xml:space="preserve">Emission Factor:</w:t>
      </w:r>
      <w:r>
        <w:t xml:space="preserve"> </w:t>
      </w:r>
      <w:r>
        <w:t xml:space="preserve">0.10 kg CO2e/tkm (for LCVs carrying smaller loads)</w:t>
      </w:r>
    </w:p>
    <w:p>
      <w:pPr>
        <w:numPr>
          <w:ilvl w:val="1"/>
          <w:numId w:val="1005"/>
        </w:numPr>
        <w:pStyle w:val="Compact"/>
      </w:pPr>
      <w:r>
        <w:rPr>
          <w:bCs/>
          <w:b/>
        </w:rPr>
        <w:t xml:space="preserve">Product Weight (with packaging):</w:t>
      </w:r>
      <w:r>
        <w:t xml:space="preserve"> </w:t>
      </w:r>
      <w:r>
        <w:t xml:space="preserve">0.5 kg (0.0005 tonnes)</w:t>
      </w:r>
    </w:p>
    <w:bookmarkEnd w:id="30"/>
    <w:bookmarkStart w:id="31" w:name="use-phase-data"/>
    <w:p>
      <w:pPr>
        <w:pStyle w:val="Heading3"/>
      </w:pPr>
      <w:r>
        <w:t xml:space="preserve">3.4 Use Phase Data</w:t>
      </w:r>
    </w:p>
    <w:p>
      <w:pPr>
        <w:pStyle w:val="FirstParagraph"/>
      </w:pPr>
      <w:r>
        <w:t xml:space="preserve">The \'Use Phase\' calculation utilizes specific durability and consumption data:</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8 kWh/year</w:t>
      </w:r>
    </w:p>
    <w:p>
      <w:pPr>
        <w:numPr>
          <w:ilvl w:val="0"/>
          <w:numId w:val="1006"/>
        </w:numPr>
        <w:pStyle w:val="Compact"/>
      </w:pPr>
      <w:r>
        <w:rPr>
          <w:bCs/>
          <w:b/>
        </w:rPr>
        <w:t xml:space="preserve">Total Energy Consumption over Lifespan:</w:t>
      </w:r>
      <w:r>
        <w:t xml:space="preserve"> </w:t>
      </w:r>
      <w:r>
        <w:t xml:space="preserve">7 years * 8 kWh/year = 56 kWh</w:t>
      </w:r>
    </w:p>
    <w:p>
      <w:pPr>
        <w:numPr>
          <w:ilvl w:val="0"/>
          <w:numId w:val="1006"/>
        </w:numPr>
        <w:pStyle w:val="Compact"/>
      </w:pPr>
      <w:r>
        <w:rPr>
          <w:bCs/>
          <w:b/>
        </w:rPr>
        <w:t xml:space="preserve">European Electricity Grid Emission Factor:</w:t>
      </w:r>
      <w:r>
        <w:t xml:space="preserve"> </w:t>
      </w:r>
      <w:r>
        <w:t xml:space="preserve">0.25 kg CO2e/kWh (approximate average for Europe)</w:t>
      </w:r>
    </w:p>
    <w:bookmarkEnd w:id="31"/>
    <w:bookmarkStart w:id="32" w:name="end-of-life-eol-scenarios"/>
    <w:p>
      <w:pPr>
        <w:pStyle w:val="Heading3"/>
      </w:pPr>
      <w:r>
        <w:t xml:space="preserve">3.5 End-of-Life (EoL) Scenarios</w:t>
      </w:r>
    </w:p>
    <w:p>
      <w:pPr>
        <w:pStyle w:val="FirstParagraph"/>
      </w:pPr>
      <w:r>
        <w:t xml:space="preserve">End-of-Life scenarios reflect circular economy impacts:</w:t>
      </w:r>
    </w:p>
    <w:p>
      <w:pPr>
        <w:numPr>
          <w:ilvl w:val="0"/>
          <w:numId w:val="1007"/>
        </w:numPr>
        <w:pStyle w:val="Compact"/>
      </w:pPr>
      <w:r>
        <w:rPr>
          <w:bCs/>
          <w:b/>
        </w:rPr>
        <w:t xml:space="preserve">Recyclability Percentage:</w:t>
      </w:r>
      <w:r>
        <w:t xml:space="preserve"> </w:t>
      </w:r>
      <w:r>
        <w:t xml:space="preserve">85% of product materials are considered recyclable.</w:t>
      </w:r>
    </w:p>
    <w:p>
      <w:pPr>
        <w:numPr>
          <w:ilvl w:val="0"/>
          <w:numId w:val="1007"/>
        </w:numPr>
        <w:pStyle w:val="Compact"/>
      </w:pPr>
      <w:r>
        <w:rPr>
          <w:bCs/>
          <w:b/>
        </w:rPr>
        <w:t xml:space="preserve">Circular/Take-back Programs:</w:t>
      </w:r>
      <w:r>
        <w:t xml:space="preserve"> </w:t>
      </w:r>
      <w:r>
        <w:t xml:space="preserve">Yes, xywhgwxuwq has comprehensive take-back and recycling programs in place, providing a significant avoided emissions benefit.</w:t>
      </w:r>
    </w:p>
    <w:p>
      <w:r>
        <w:pict>
          <v:rect style="width:0;height:1.5pt" o:hralign="center" o:hrstd="t" o:hr="t"/>
        </w:pict>
      </w:r>
    </w:p>
    <w:bookmarkEnd w:id="32"/>
    <w:bookmarkEnd w:id="33"/>
    <w:bookmarkStart w:id="40" w:name="calculation-of-emissions"/>
    <w:p>
      <w:pPr>
        <w:pStyle w:val="Heading2"/>
      </w:pPr>
      <w:r>
        <w:t xml:space="preserve">4. Calculation of Emissions</w:t>
      </w:r>
    </w:p>
    <w:p>
      <w:pPr>
        <w:pStyle w:val="FirstParagraph"/>
      </w:pPr>
      <w:r>
        <w:t xml:space="preserve">Emissions are calculated by multiplying activity data (e.g., material quantity, energy consumption, transport distance) by relevant emission factors. The results are categorized according to the GHG Protocol\'s Scope definitions.</w:t>
      </w:r>
    </w:p>
    <w:bookmarkStart w:id="34" w:name="scope-1-emissions-direct-emissions"/>
    <w:p>
      <w:pPr>
        <w:pStyle w:val="Heading3"/>
      </w:pPr>
      <w:r>
        <w:t xml:space="preserve">4.1 Scope 1 Emissions (Direct Emissions)</w:t>
      </w:r>
    </w:p>
    <w:p>
      <w:pPr>
        <w:pStyle w:val="FirstParagraph"/>
      </w:pPr>
      <w:r>
        <w:t xml:space="preserve">These are direct GHG emissions from sources owned or controlled by xywhgwxuwq.</w:t>
      </w:r>
    </w:p>
    <w:p>
      <w:pPr>
        <w:numPr>
          <w:ilvl w:val="0"/>
          <w:numId w:val="1008"/>
        </w:numPr>
        <w:pStyle w:val="Compact"/>
      </w:pPr>
      <w:r>
        <w:rPr>
          <w:bCs/>
          <w:b/>
        </w:rPr>
        <w:t xml:space="preserve">Production Facility Operations (e.g., fuel for forklifts, on-site heating):</w:t>
      </w:r>
      <w:r>
        <w:t xml:space="preserve"> </w:t>
      </w:r>
      <w:r>
        <w:t xml:space="preserve">0.1 kg CO2e/unit</w:t>
      </w:r>
    </w:p>
    <w:p>
      <w:pPr>
        <w:pStyle w:val="FirstParagraph"/>
      </w:pPr>
      <w:r>
        <w:rPr>
          <w:bCs/>
          <w:b/>
        </w:rPr>
        <w:t xml:space="preserve">Total Scope 1 Emissions: 0.1 kg CO2e</w:t>
      </w:r>
    </w:p>
    <w:bookmarkEnd w:id="34"/>
    <w:bookmarkStart w:id="35"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heat, or steam consumed by xywhgwxuwq.</w:t>
      </w:r>
    </w:p>
    <w:p>
      <w:pPr>
        <w:numPr>
          <w:ilvl w:val="0"/>
          <w:numId w:val="1009"/>
        </w:numPr>
        <w:pStyle w:val="Compact"/>
      </w:pPr>
      <w:r>
        <w:rPr>
          <w:bCs/>
          <w:b/>
        </w:rPr>
        <w:t xml:space="preserve">Purchased Electricity for Production:</w:t>
      </w:r>
      <w:r>
        <w:t xml:space="preserve"> </w:t>
      </w:r>
      <w:r>
        <w:t xml:space="preserve">8.0 kWh (non-renewable portion) * 0.65 kg CO2e/kWh = 5.2 kg CO2e</w:t>
      </w:r>
    </w:p>
    <w:p>
      <w:pPr>
        <w:pStyle w:val="FirstParagraph"/>
      </w:pPr>
      <w:r>
        <w:rPr>
          <w:bCs/>
          <w:b/>
        </w:rPr>
        <w:t xml:space="preserve">Total Scope 2 Emissions: 5.2 kg CO2e</w:t>
      </w:r>
    </w:p>
    <w:bookmarkEnd w:id="35"/>
    <w:bookmarkStart w:id="38" w:name="X63db962e2fb7e75cee578b930259ee36b4fd88b"/>
    <w:p>
      <w:pPr>
        <w:pStyle w:val="Heading3"/>
      </w:pPr>
      <w:r>
        <w:t xml:space="preserve">4.3 Scope 3 Emissions (Other Indirect Emissions from the Value Chain)</w:t>
      </w:r>
    </w:p>
    <w:p>
      <w:pPr>
        <w:pStyle w:val="FirstParagraph"/>
      </w:pPr>
      <w:r>
        <w:t xml:space="preserve">Scope 3 emissions cover all other indirect emissions that occur in the value chain of xywhgwxuwq, both upstream and downstream. This report ensures at least 95% coverage for Scope 3 reporting, as per 2026 requirements, by including all material, transport, use-phase, and end-of-life impacts.</w:t>
      </w:r>
    </w:p>
    <w:bookmarkStart w:id="36" w:name="upstream-emissions"/>
    <w:p>
      <w:pPr>
        <w:pStyle w:val="Heading4"/>
      </w:pPr>
      <w:r>
        <w:t xml:space="preserve">4.3.1 Upstream Emissions</w:t>
      </w:r>
    </w:p>
    <w:p>
      <w:pPr>
        <w:numPr>
          <w:ilvl w:val="0"/>
          <w:numId w:val="1010"/>
        </w:numPr>
        <w:pStyle w:val="Compact"/>
      </w:pPr>
      <w:r>
        <w:rPr>
          <w:bCs/>
          <w:b/>
        </w:rPr>
        <w:t xml:space="preserve">Material Acquisition &amp; Pre-processing:</w:t>
      </w:r>
      <w:r>
        <w:t xml:space="preserve"> </w:t>
      </w:r>
      <w:r>
        <w:t xml:space="preserve">3.095 kg CO2e (from detailed BOM table above)</w:t>
      </w:r>
    </w:p>
    <w:p>
      <w:pPr>
        <w:numPr>
          <w:ilvl w:val="0"/>
          <w:numId w:val="1010"/>
        </w:numPr>
        <w:pStyle w:val="Compact"/>
      </w:pPr>
      <w:r>
        <w:rPr>
          <w:bCs/>
          <w:b/>
        </w:rPr>
        <w:t xml:space="preserve">Upstream Transport (Raw Materials/Components to Factory):</w:t>
      </w:r>
      <w:r>
        <w:t xml:space="preserve"> </w:t>
      </w:r>
      <w:r>
        <w:t xml:space="preserve">1.8 kg CO2e</w:t>
      </w:r>
    </w:p>
    <w:p>
      <w:pPr>
        <w:pStyle w:val="FirstParagraph"/>
      </w:pPr>
      <w:r>
        <w:rPr>
          <w:bCs/>
          <w:b/>
        </w:rPr>
        <w:t xml:space="preserve">Total Upstream Scope 3 Emissions: 4.895 kg CO2e</w:t>
      </w:r>
    </w:p>
    <w:bookmarkEnd w:id="36"/>
    <w:bookmarkStart w:id="37" w:name="downstream-emissions"/>
    <w:p>
      <w:pPr>
        <w:pStyle w:val="Heading4"/>
      </w:pPr>
      <w:r>
        <w:t xml:space="preserve">4.3.2 Downstream Emissions</w:t>
      </w:r>
    </w:p>
    <w:p>
      <w:pPr>
        <w:numPr>
          <w:ilvl w:val="0"/>
          <w:numId w:val="1011"/>
        </w:numPr>
        <w:pStyle w:val="Compact"/>
      </w:pPr>
      <w:r>
        <w:rPr>
          <w:bCs/>
          <w:b/>
        </w:rPr>
        <w:t xml:space="preserve">Downstream Transport (Factory to Customer):</w:t>
      </w:r>
    </w:p>
    <w:p>
      <w:pPr>
        <w:numPr>
          <w:ilvl w:val="1"/>
          <w:numId w:val="1012"/>
        </w:numPr>
        <w:pStyle w:val="Compact"/>
      </w:pPr>
      <w:r>
        <w:t xml:space="preserve">Ocean freight: 15,000 km * (0.5 kg / 1000) * 0.015 kg CO2e/tkm = 0.1125 kg CO2e</w:t>
      </w:r>
    </w:p>
    <w:p>
      <w:pPr>
        <w:numPr>
          <w:ilvl w:val="1"/>
          <w:numId w:val="1012"/>
        </w:numPr>
        <w:pStyle w:val="Compact"/>
      </w:pPr>
      <w:r>
        <w:t xml:space="preserve">Last-Mile Delivery: 500 km * (0.5 kg / 1000) * 0.10 kg CO2e/tkm = 0.025 kg CO2e</w:t>
      </w:r>
    </w:p>
    <w:p>
      <w:pPr>
        <w:numPr>
          <w:ilvl w:val="1"/>
          <w:numId w:val="1012"/>
        </w:numPr>
        <w:pStyle w:val="Compact"/>
      </w:pPr>
      <w:r>
        <w:rPr>
          <w:bCs/>
          <w:b/>
        </w:rPr>
        <w:t xml:space="preserve">Subtotal Downstream Transport:</w:t>
      </w:r>
      <w:r>
        <w:t xml:space="preserve"> </w:t>
      </w:r>
      <w:r>
        <w:t xml:space="preserve">0.1125 + 0.025 = 0.1375 kg CO2e</w:t>
      </w:r>
    </w:p>
    <w:p>
      <w:pPr>
        <w:numPr>
          <w:ilvl w:val="0"/>
          <w:numId w:val="1011"/>
        </w:numPr>
        <w:pStyle w:val="Compact"/>
      </w:pPr>
      <w:r>
        <w:rPr>
          <w:bCs/>
          <w:b/>
        </w:rPr>
        <w:t xml:space="preserve">Use Phase Emissions:</w:t>
      </w:r>
      <w:r>
        <w:t xml:space="preserve"> </w:t>
      </w:r>
      <w:r>
        <w:t xml:space="preserve">56 kWh * 0.25 kg CO2e/kWh = 14.0 kg CO2e</w:t>
      </w:r>
    </w:p>
    <w:p>
      <w:pPr>
        <w:numPr>
          <w:ilvl w:val="0"/>
          <w:numId w:val="1011"/>
        </w:numPr>
        <w:pStyle w:val="Compact"/>
      </w:pPr>
      <w:r>
        <w:rPr>
          <w:bCs/>
          <w:b/>
        </w:rPr>
        <w:t xml:space="preserve">End-of-Life Treatment (applying 2026 LSR Update):</w:t>
      </w:r>
    </w:p>
    <w:p>
      <w:pPr>
        <w:numPr>
          <w:ilvl w:val="1"/>
          <w:numId w:val="1013"/>
        </w:numPr>
        <w:pStyle w:val="Compact"/>
      </w:pPr>
      <w:r>
        <w:t xml:space="preserve">Avoided emissions from recycling: 0.425 kg (85% of 0.5 kg product material) * -1.0 kg CO2e/kg (credit) = -0.425 kg CO2e</w:t>
      </w:r>
    </w:p>
    <w:p>
      <w:pPr>
        <w:numPr>
          <w:ilvl w:val="1"/>
          <w:numId w:val="1013"/>
        </w:numPr>
        <w:pStyle w:val="Compact"/>
      </w:pPr>
      <w:r>
        <w:t xml:space="preserve">Emissions from disposal (landfill/incineration): 0.075 kg (15% of 0.5 kg product material) * 0.1 kg CO2e/kg = 0.0075 kg CO2e</w:t>
      </w:r>
    </w:p>
    <w:p>
      <w:pPr>
        <w:numPr>
          <w:ilvl w:val="1"/>
          <w:numId w:val="1013"/>
        </w:numPr>
        <w:pStyle w:val="Compact"/>
      </w:pPr>
      <w:r>
        <w:rPr>
          <w:bCs/>
          <w:b/>
        </w:rPr>
        <w:t xml:space="preserve">Net End-of-Life Emissions:</w:t>
      </w:r>
      <w:r>
        <w:t xml:space="preserve"> </w:t>
      </w:r>
      <w:r>
        <w:t xml:space="preserve">-0.425 + 0.0075 = -0.4175 kg CO2e</w:t>
      </w:r>
    </w:p>
    <w:p>
      <w:pPr>
        <w:pStyle w:val="FirstParagraph"/>
      </w:pPr>
      <w:r>
        <w:t xml:space="preserve">The negative value for End-of-Life reflects the carbon removals/avoided emissions achieved through xywhgwxuwq\'s robust circular/take-back programs and high recyclability percentage, aligning with the 2026 Land Sector and Removals (LSR) Standard. This accounts for the positive impact of recovering materials at the end of the product\'s life, reducing the need for virgin material production.</w:t>
      </w:r>
    </w:p>
    <w:p>
      <w:pPr>
        <w:pStyle w:val="BodyText"/>
      </w:pPr>
      <w:r>
        <w:rPr>
          <w:bCs/>
          <w:b/>
        </w:rPr>
        <w:t xml:space="preserve">Total Downstream Scope 3 Emissions: 0.1375 + 14.0 - 0.4175 = 13.72 kg CO2e</w:t>
      </w:r>
    </w:p>
    <w:p>
      <w:r>
        <w:pict>
          <v:rect style="width:0;height:1.5pt" o:hralign="center" o:hrstd="t" o:hr="t"/>
        </w:pict>
      </w:r>
    </w:p>
    <w:bookmarkEnd w:id="37"/>
    <w:bookmarkEnd w:id="38"/>
    <w:bookmarkStart w:id="39" w:name="Xe1cd68c279e0c148f07d5681ae69c3db63aa211"/>
    <w:p>
      <w:pPr>
        <w:pStyle w:val="Heading3"/>
      </w:pPr>
      <w:r>
        <w:t xml:space="preserve">4.4 Summary of Product Carbon Footprint (PCF) - ilfqkywkmr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3.095</w:t>
            </w:r>
          </w:p>
        </w:tc>
        <w:tc>
          <w:tcPr/>
          <w:p>
            <w:pPr>
              <w:pStyle w:val="Compact"/>
              <w:jc w:val="left"/>
            </w:pPr>
            <w:r>
              <w:t xml:space="preserve">12.94%</w:t>
            </w:r>
          </w:p>
        </w:tc>
      </w:tr>
      <w:tr>
        <w:tc>
          <w:tcPr/>
          <w:p>
            <w:pPr>
              <w:pStyle w:val="Compact"/>
              <w:jc w:val="left"/>
            </w:pPr>
            <w:r>
              <w:t xml:space="preserve">Production (Scope 1)</w:t>
            </w:r>
          </w:p>
        </w:tc>
        <w:tc>
          <w:tcPr/>
          <w:p>
            <w:pPr>
              <w:pStyle w:val="Compact"/>
              <w:jc w:val="left"/>
            </w:pPr>
            <w:r>
              <w:t xml:space="preserve">Scope 1</w:t>
            </w:r>
          </w:p>
        </w:tc>
        <w:tc>
          <w:tcPr/>
          <w:p>
            <w:pPr>
              <w:pStyle w:val="Compact"/>
              <w:jc w:val="left"/>
            </w:pPr>
            <w:r>
              <w:t xml:space="preserve">0.100</w:t>
            </w:r>
          </w:p>
        </w:tc>
        <w:tc>
          <w:tcPr/>
          <w:p>
            <w:pPr>
              <w:pStyle w:val="Compact"/>
              <w:jc w:val="left"/>
            </w:pPr>
            <w:r>
              <w:t xml:space="preserve">0.42%</w:t>
            </w:r>
          </w:p>
        </w:tc>
      </w:tr>
      <w:tr>
        <w:tc>
          <w:tcPr/>
          <w:p>
            <w:pPr>
              <w:pStyle w:val="Compact"/>
              <w:jc w:val="left"/>
            </w:pPr>
            <w:r>
              <w:t xml:space="preserve">Production (Scope 2 - Purchased Electricity)</w:t>
            </w:r>
          </w:p>
        </w:tc>
        <w:tc>
          <w:tcPr/>
          <w:p>
            <w:pPr>
              <w:pStyle w:val="Compact"/>
              <w:jc w:val="left"/>
            </w:pPr>
            <w:r>
              <w:t xml:space="preserve">Scope 2</w:t>
            </w:r>
          </w:p>
        </w:tc>
        <w:tc>
          <w:tcPr/>
          <w:p>
            <w:pPr>
              <w:pStyle w:val="Compact"/>
              <w:jc w:val="left"/>
            </w:pPr>
            <w:r>
              <w:t xml:space="preserve">5.200</w:t>
            </w:r>
          </w:p>
        </w:tc>
        <w:tc>
          <w:tcPr/>
          <w:p>
            <w:pPr>
              <w:pStyle w:val="Compact"/>
              <w:jc w:val="left"/>
            </w:pPr>
            <w:r>
              <w:t xml:space="preserve">21.74%</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1.800</w:t>
            </w:r>
          </w:p>
        </w:tc>
        <w:tc>
          <w:tcPr/>
          <w:p>
            <w:pPr>
              <w:pStyle w:val="Compact"/>
              <w:jc w:val="left"/>
            </w:pPr>
            <w:r>
              <w:t xml:space="preserve">7.53%</w:t>
            </w:r>
          </w:p>
        </w:tc>
      </w:tr>
      <w:tr>
        <w:tc>
          <w:tcPr/>
          <w:p>
            <w:pPr>
              <w:pStyle w:val="Compact"/>
              <w:jc w:val="left"/>
            </w:pPr>
            <w:r>
              <w:t xml:space="preserve">Transport (Downstream)</w:t>
            </w:r>
          </w:p>
        </w:tc>
        <w:tc>
          <w:tcPr/>
          <w:p>
            <w:pPr>
              <w:pStyle w:val="Compact"/>
              <w:jc w:val="left"/>
            </w:pPr>
            <w:r>
              <w:t xml:space="preserve">Scope 3 (Downstream)</w:t>
            </w:r>
          </w:p>
        </w:tc>
        <w:tc>
          <w:tcPr/>
          <w:p>
            <w:pPr>
              <w:pStyle w:val="Compact"/>
              <w:jc w:val="left"/>
            </w:pPr>
            <w:r>
              <w:t xml:space="preserve">0.1375</w:t>
            </w:r>
          </w:p>
        </w:tc>
        <w:tc>
          <w:tcPr/>
          <w:p>
            <w:pPr>
              <w:pStyle w:val="Compact"/>
              <w:jc w:val="left"/>
            </w:pPr>
            <w:r>
              <w:t xml:space="preserve">0.57%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14.000</w:t>
            </w:r>
          </w:p>
        </w:tc>
        <w:tc>
          <w:tcPr/>
          <w:p>
            <w:pPr>
              <w:pStyle w:val="Compact"/>
              <w:jc w:val="left"/>
            </w:pPr>
            <w:r>
              <w:t xml:space="preserve">58.54%</w:t>
            </w:r>
          </w:p>
        </w:tc>
      </w:tr>
      <w:tr>
        <w:tc>
          <w:tcPr/>
          <w:p>
            <w:pPr>
              <w:pStyle w:val="Compact"/>
              <w:jc w:val="left"/>
            </w:pPr>
            <w:r>
              <w:t xml:space="preserve">End-of-Life Treatment (Net)</w:t>
            </w:r>
          </w:p>
        </w:tc>
        <w:tc>
          <w:tcPr/>
          <w:p>
            <w:pPr>
              <w:pStyle w:val="Compact"/>
              <w:jc w:val="left"/>
            </w:pPr>
            <w:r>
              <w:t xml:space="preserve">Scope 3 (Downstream)</w:t>
            </w:r>
          </w:p>
        </w:tc>
        <w:tc>
          <w:tcPr/>
          <w:p>
            <w:pPr>
              <w:pStyle w:val="Compact"/>
              <w:jc w:val="left"/>
            </w:pPr>
            <w:r>
              <w:t xml:space="preserve">-0.4175</w:t>
            </w:r>
          </w:p>
        </w:tc>
        <w:tc>
          <w:tcPr/>
          <w:p>
            <w:pPr>
              <w:pStyle w:val="Compact"/>
              <w:jc w:val="left"/>
            </w:pPr>
            <w:r>
              <w:t xml:space="preserve">-1.75%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23.915</w:t>
            </w:r>
          </w:p>
        </w:tc>
        <w:tc>
          <w:tcPr/>
          <w:p>
            <w:pPr>
              <w:pStyle w:val="Compact"/>
              <w:jc w:val="left"/>
            </w:pPr>
            <w:r>
              <w:rPr>
                <w:bCs/>
                <w:b/>
              </w:rPr>
              <w:t xml:space="preserve">100.00%</w:t>
            </w:r>
          </w:p>
        </w:tc>
      </w:tr>
    </w:tbl>
    <w:p>
      <w:pPr>
        <w:pStyle w:val="BodyText"/>
      </w:pPr>
      <w:r>
        <w:rPr>
          <w:iCs/>
          <w:i/>
        </w:rPr>
        <w:t xml:space="preserve">Note: Percentages are rounded and may not sum precisely to 100%.</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and-reliability"/>
    <w:p>
      <w:pPr>
        <w:pStyle w:val="Heading3"/>
      </w:pPr>
      <w:r>
        <w:t xml:space="preserve">5.1 Emission Hotspots and Reliability</w:t>
      </w:r>
    </w:p>
    <w:p>
      <w:pPr>
        <w:pStyle w:val="FirstParagraph"/>
      </w:pPr>
      <w:r>
        <w:t xml:space="preserve">The analysis reveals the following emission hotspots for \'ilfqkywkmr\':</w:t>
      </w:r>
    </w:p>
    <w:p>
      <w:pPr>
        <w:numPr>
          <w:ilvl w:val="0"/>
          <w:numId w:val="1014"/>
        </w:numPr>
        <w:pStyle w:val="Compact"/>
      </w:pPr>
      <w:r>
        <w:rPr>
          <w:bCs/>
          <w:b/>
        </w:rPr>
        <w:t xml:space="preserve">Use Phase (58.54%):</w:t>
      </w:r>
      <w:r>
        <w:t xml:space="preserve"> </w:t>
      </w:r>
      <w:r>
        <w:t xml:space="preserve">The most significant contributor is the energy consumed during the product\'s 7-year lifespan. This highlights the importance of energy-efficient design and promoting renewable energy sources for consumers.</w:t>
      </w:r>
    </w:p>
    <w:p>
      <w:pPr>
        <w:numPr>
          <w:ilvl w:val="0"/>
          <w:numId w:val="1014"/>
        </w:numPr>
        <w:pStyle w:val="Compact"/>
      </w:pPr>
      <w:r>
        <w:rPr>
          <w:bCs/>
          <w:b/>
        </w:rPr>
        <w:t xml:space="preserve">Production - Scope 2 (21.74%):</w:t>
      </w:r>
      <w:r>
        <w:t xml:space="preserve"> </w:t>
      </w:r>
      <w:r>
        <w:t xml:space="preserve">Emissions from purchased electricity for manufacturing in China represent a substantial portion, even with 60% renewable energy usage. Further increasing renewable energy procurement and improving energy efficiency in production are critical.</w:t>
      </w:r>
    </w:p>
    <w:p>
      <w:pPr>
        <w:numPr>
          <w:ilvl w:val="0"/>
          <w:numId w:val="1014"/>
        </w:numPr>
        <w:pStyle w:val="Compact"/>
      </w:pPr>
      <w:r>
        <w:rPr>
          <w:bCs/>
          <w:b/>
        </w:rPr>
        <w:t xml:space="preserve">Material Acquisition &amp; Pre-processing (12.94%):</w:t>
      </w:r>
      <w:r>
        <w:t xml:space="preserve"> </w:t>
      </w:r>
      <w:r>
        <w:t xml:space="preserve">The initial impact of raw materials, particularly aluminum and the electronic PCB, contributes notably to the footprint. Optimizing material selection, increasing recycled content, and engaging with low-carbon suppliers are key strategies.</w:t>
      </w:r>
    </w:p>
    <w:p>
      <w:pPr>
        <w:numPr>
          <w:ilvl w:val="0"/>
          <w:numId w:val="1014"/>
        </w:numPr>
        <w:pStyle w:val="Compact"/>
      </w:pPr>
      <w:r>
        <w:rPr>
          <w:bCs/>
          <w:b/>
        </w:rPr>
        <w:t xml:space="preserve">Upstream Transport (7.53%):</w:t>
      </w:r>
      <w:r>
        <w:t xml:space="preserve"> </w:t>
      </w:r>
      <w:r>
        <w:t xml:space="preserve">The transport of various components to the factory also presents a significant area for reduction through optimized logistics and mode shifting to lower-emitting options.</w:t>
      </w:r>
    </w:p>
    <w:p>
      <w:pPr>
        <w:numPr>
          <w:ilvl w:val="0"/>
          <w:numId w:val="1014"/>
        </w:numPr>
        <w:pStyle w:val="Compact"/>
      </w:pPr>
      <w:r>
        <w:rPr>
          <w:bCs/>
          <w:b/>
        </w:rPr>
        <w:t xml:space="preserve">End-of-Life (-1.75%):</w:t>
      </w:r>
      <w:r>
        <w:t xml:space="preserve"> </w:t>
      </w:r>
      <w:r>
        <w:t xml:space="preserve">The net negative emissions from the End-of-Life phase demonstrate the effectiveness of xywhgwxuwq\'s circular economy programs, leading to carbon removals and avoided emissions through high recyclability.</w:t>
      </w:r>
    </w:p>
    <w:p>
      <w:pPr>
        <w:pStyle w:val="FirstParagraph"/>
      </w:pPr>
      <w:r>
        <w:t xml:space="preserve">The reliability of this assessment is considered high due to the use of specific product parameters and established industry-standard emission factors. While primary data was used for specific product attributes, secondary data from Ecoinvent and DEFRA formed the basis for many generic emission factors, providing a robust but generalized foundation. Further improvement in accuracy could be achieved through detailed supplier-specific primary data for all components and precise geographical emission factors for all transport legs.</w:t>
      </w:r>
    </w:p>
    <w:bookmarkEnd w:id="41"/>
    <w:bookmarkStart w:id="42" w:name="recommendations-for-ghg-reduction"/>
    <w:p>
      <w:pPr>
        <w:pStyle w:val="Heading3"/>
      </w:pPr>
      <w:r>
        <w:t xml:space="preserve">5.2 Recommendations for GHG Reduction</w:t>
      </w:r>
    </w:p>
    <w:p>
      <w:pPr>
        <w:numPr>
          <w:ilvl w:val="0"/>
          <w:numId w:val="1015"/>
        </w:numPr>
        <w:pStyle w:val="Compact"/>
      </w:pPr>
      <w:r>
        <w:rPr>
          <w:bCs/>
          <w:b/>
        </w:rPr>
        <w:t xml:space="preserve">Enhance Use Phase Efficiency:</w:t>
      </w:r>
      <w:r>
        <w:t xml:space="preserve"> </w:t>
      </w:r>
      <w:r>
        <w:t xml:space="preserve">Focus on designing more energy-efficient products to reduce electricity consumption during the 7-year lifespan. Educate consumers on responsible energy use and the benefits of renewable energy.</w:t>
      </w:r>
    </w:p>
    <w:p>
      <w:pPr>
        <w:numPr>
          <w:ilvl w:val="0"/>
          <w:numId w:val="1015"/>
        </w:numPr>
        <w:pStyle w:val="Compact"/>
      </w:pPr>
      <w:r>
        <w:rPr>
          <w:bCs/>
          <w:b/>
        </w:rPr>
        <w:t xml:space="preserve">Increase Renewable Energy in Production:</w:t>
      </w:r>
      <w:r>
        <w:t xml:space="preserve"> </w:t>
      </w:r>
      <w:r>
        <w:t xml:space="preserve">Aim for 100% renewable energy in manufacturing facilities, especially in regions with carbon-intensive grids like China, to significantly reduce Scope 2 emissions.</w:t>
      </w:r>
    </w:p>
    <w:p>
      <w:pPr>
        <w:numPr>
          <w:ilvl w:val="0"/>
          <w:numId w:val="1015"/>
        </w:numPr>
        <w:pStyle w:val="Compact"/>
      </w:pPr>
      <w:r>
        <w:rPr>
          <w:bCs/>
          <w:b/>
        </w:rPr>
        <w:t xml:space="preserve">Sustainable Material Sourcing:</w:t>
      </w:r>
      <w:r>
        <w:t xml:space="preserve"> </w:t>
      </w:r>
      <w:r>
        <w:t xml:space="preserve">Prioritize materials with lower embodied carbon, increase the percentage of recycled content (e.g., using recycled ABS and aluminum), and collaborate with suppliers to develop low-carbon alternatives.</w:t>
      </w:r>
    </w:p>
    <w:p>
      <w:pPr>
        <w:numPr>
          <w:ilvl w:val="0"/>
          <w:numId w:val="1015"/>
        </w:numPr>
        <w:pStyle w:val="Compact"/>
      </w:pPr>
      <w:r>
        <w:rPr>
          <w:bCs/>
          <w:b/>
        </w:rPr>
        <w:t xml:space="preserve">Optimize Logistics:</w:t>
      </w:r>
      <w:r>
        <w:t xml:space="preserve"> </w:t>
      </w:r>
      <w:r>
        <w:t xml:space="preserve">Investigate opportunities to optimize transport routes, consolidate shipments, and shift towards lower-emission transport modes (e.g., rail over road where feasible) for both upstream and downstream logistics.</w:t>
      </w:r>
    </w:p>
    <w:p>
      <w:pPr>
        <w:numPr>
          <w:ilvl w:val="0"/>
          <w:numId w:val="1015"/>
        </w:numPr>
        <w:pStyle w:val="Compact"/>
      </w:pPr>
      <w:r>
        <w:rPr>
          <w:bCs/>
          <w:b/>
        </w:rPr>
        <w:t xml:space="preserve">Expand Circular Economy Initiatives:</w:t>
      </w:r>
      <w:r>
        <w:t xml:space="preserve"> </w:t>
      </w:r>
      <w:r>
        <w:t xml:space="preserve">Continue to strengthen and expand take-back and recycling programs, exploring advanced recycling technologies to maximize material recovery and carbon removal benefits.</w:t>
      </w:r>
    </w:p>
    <w:p>
      <w:r>
        <w:pict>
          <v:rect style="width:0;height:1.5pt" o:hralign="center" o:hrstd="t" o:hr="t"/>
        </w:pict>
      </w:r>
    </w:p>
    <w:bookmarkEnd w:id="42"/>
    <w:bookmarkEnd w:id="43"/>
    <w:bookmarkStart w:id="44" w:name="conclusion"/>
    <w:p>
      <w:pPr>
        <w:pStyle w:val="Heading2"/>
      </w:pPr>
      <w:r>
        <w:t xml:space="preserve">Conclusion</w:t>
      </w:r>
    </w:p>
    <w:p>
      <w:pPr>
        <w:pStyle w:val="FirstParagraph"/>
      </w:pPr>
      <w:r>
        <w:t xml:space="preserve">This comprehensive Product Carbon Footprint analysis provides xywhgwxuwq with a clear understanding of the environmental impact of \'ilfqkywkmr\' across its entire lifecycle. The identified hotspots offer actionable insights for targeted emission reduction strategies. By focusing on energy efficiency in the use phase, renewable energy in production, sustainable material sourcing, optimized logistics, and robust circular economy programs, xywhgwxuwq can significantly reduce its environmental footprint and demonstrate leadership in sustainability.</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ilfqkywkmr</dc:title>
  <dc:creator/>
  <dc:description>Detailed Product Carbon Footprint (PCF) analysis report for ilfqkywkmr by eerpoywxsr, Senior Sustainability Consultant at xywhgwxuwq, following GHG Protocol and 2026 LSR update.</dc:description>
  <dc:language>en</dc:language>
  <cp:keywords/>
  <dcterms:created xsi:type="dcterms:W3CDTF">2026-07-15T01:34:57Z</dcterms:created>
  <dcterms:modified xsi:type="dcterms:W3CDTF">2026-07-15T01:34:57Z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