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ikdngqvzly</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ikdngqvzly"/>
    <w:p>
      <w:pPr>
        <w:pStyle w:val="Heading2"/>
      </w:pPr>
      <w:r>
        <w:t xml:space="preserve">Product: ikdngqvzly</w:t>
      </w:r>
    </w:p>
    <w:p>
      <w:pPr>
        <w:pStyle w:val="FirstParagraph"/>
      </w:pPr>
      <w:r>
        <w:rPr>
          <w:bCs/>
          <w:b/>
        </w:rPr>
        <w:t xml:space="preserve">Company:</w:t>
      </w:r>
      <w:r>
        <w:t xml:space="preserve"> </w:t>
      </w:r>
      <w:r>
        <w:t xml:space="preserve">unwldjkuyy</w:t>
      </w:r>
    </w:p>
    <w:p>
      <w:pPr>
        <w:pStyle w:val="BodyText"/>
      </w:pPr>
      <w:r>
        <w:rPr>
          <w:bCs/>
          <w:b/>
        </w:rPr>
        <w:t xml:space="preserve">Senior Sustainability Consultant:</w:t>
      </w:r>
      <w:r>
        <w:t xml:space="preserve"> </w:t>
      </w:r>
      <w:r>
        <w:t xml:space="preserve">xoiqxjzpxk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assumptions made for placeholder parameters. The accuracy of the results is contingent upon the reliability and completeness of the input data. This report serves as an estimate and should be used for internal strategic planning and sustainability assessments.</w:t>
      </w:r>
    </w:p>
    <w:bookmarkEnd w:id="20"/>
    <w:bookmarkEnd w:id="21"/>
    <w:bookmarkStart w:id="50" w:name="Xd56373f9b4c2284075b605802fd3042a2f3ef96"/>
    <w:p>
      <w:pPr>
        <w:pStyle w:val="Heading1"/>
      </w:pPr>
      <w:r>
        <w:t xml:space="preserve">Product Carbon Footprint Analysis Report for ikdngqvzly</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"ikdngqvzly" manufactured by unwldjkuyy. The analysis, conducted by xoiqxjzpxk, a Senior Sustainability Consultant specializing in the GHG Protocol, adheres to the GHG Protocol\'s Product Standard, incorporating the 2026 Land Sector and Removals (LSR) Standard updates for relevant considerations and aiming for at least 95% Scope 3 coverage. The primary goal is to quantify the greenhouse gas emissions associated with the product\'s lifecycle from a cradle-to-grave perspective, based on the provided parameters and illustrative industry data. The total carbon footprint for one functional unit of "ikdngqvzly" is calculated to be</w:t>
      </w:r>
      <w:r>
        <w:t xml:space="preserve"> </w:t>
      </w:r>
      <w:r>
        <w:rPr>
          <w:bCs/>
          <w:b/>
        </w:rPr>
        <w:t xml:space="preserve">70.38 kg CO2e</w:t>
      </w:r>
      <w:r>
        <w:t xml:space="preserve">.</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foundation of this Product Carbon Footprint (PCF) analysis is established by clearly defining its scope, ensuring a robust and consistent assessment according to the GHG Protocol.</w:t>
      </w:r>
    </w:p>
    <w:bookmarkStart w:id="23" w:name="functional-unit"/>
    <w:p>
      <w:pPr>
        <w:pStyle w:val="Heading3"/>
      </w:pPr>
      <w:r>
        <w:t xml:space="preserve">Functional Unit</w:t>
      </w:r>
    </w:p>
    <w:p>
      <w:pPr>
        <w:numPr>
          <w:ilvl w:val="0"/>
          <w:numId w:val="1001"/>
        </w:numPr>
        <w:pStyle w:val="Compact"/>
      </w:pPr>
      <w:r>
        <w:rPr>
          <w:bCs/>
          <w:b/>
        </w:rPr>
        <w:t xml:space="preserve">Definition:</w:t>
      </w:r>
      <w:r>
        <w:t xml:space="preserve"> </w:t>
      </w:r>
      <w:r>
        <w:t xml:space="preserve">1.0 unit of ikdngqvzly.</w:t>
      </w:r>
    </w:p>
    <w:p>
      <w:pPr>
        <w:numPr>
          <w:ilvl w:val="0"/>
          <w:numId w:val="1001"/>
        </w:numPr>
        <w:pStyle w:val="Compact"/>
      </w:pPr>
      <w:r>
        <w:rPr>
          <w:bCs/>
          <w:b/>
        </w:rPr>
        <w:t xml:space="preserve">Rationale:</w:t>
      </w:r>
      <w:r>
        <w:t xml:space="preserve"> </w:t>
      </w:r>
      <w:r>
        <w:t xml:space="preserve">The functional unit serves as a reference basis for quantifying and comparing the environmental impacts of the product, ensuring that equivalent product functions are compared.</w:t>
      </w:r>
    </w:p>
    <w:bookmarkEnd w:id="23"/>
    <w:bookmarkStart w:id="24" w:name="system-boundary"/>
    <w:p>
      <w:pPr>
        <w:pStyle w:val="Heading3"/>
      </w:pPr>
      <w:r>
        <w:t xml:space="preserve">System Boundary</w:t>
      </w:r>
    </w:p>
    <w:p>
      <w:pPr>
        <w:numPr>
          <w:ilvl w:val="0"/>
          <w:numId w:val="1002"/>
        </w:numPr>
        <w:pStyle w:val="Compact"/>
      </w:pPr>
      <w:r>
        <w:rPr>
          <w:bCs/>
          <w:b/>
        </w:rPr>
        <w:t xml:space="preserve">Primary Boundary Stated:</w:t>
      </w:r>
      <w:r>
        <w:t xml:space="preserve"> </w:t>
      </w:r>
      <w:r>
        <w:t xml:space="preserve">factory_gate.</w:t>
      </w:r>
    </w:p>
    <w:p>
      <w:pPr>
        <w:numPr>
          <w:ilvl w:val="0"/>
          <w:numId w:val="1002"/>
        </w:numPr>
        <w:pStyle w:val="Compact"/>
      </w:pPr>
      <w:r>
        <w:rPr>
          <w:bCs/>
          <w:b/>
        </w:rPr>
        <w:t xml:space="preserve">Expanded Analysis:</w:t>
      </w:r>
      <w:r>
        <w:t xml:space="preserve"> </w:t>
      </w:r>
      <w:r>
        <w:t xml:space="preserve">While the primary boundary is specified as factory_gate, the analysis has been expanded to a</w:t>
      </w:r>
      <w:r>
        <w:t xml:space="preserve"> </w:t>
      </w:r>
      <w:r>
        <w:rPr>
          <w:bCs/>
          <w:b/>
        </w:rPr>
        <w:t xml:space="preserve">Cradle-to-Grave</w:t>
      </w:r>
      <w:r>
        <w:t xml:space="preserve"> </w:t>
      </w:r>
      <w:r>
        <w:t xml:space="preserve">approach to incorporate detailed data provided for the Use Phase and End-of-Life (EoL) scenarios. This includes:</w:t>
      </w:r>
    </w:p>
    <w:p>
      <w:pPr>
        <w:numPr>
          <w:ilvl w:val="1"/>
          <w:numId w:val="1003"/>
        </w:numPr>
        <w:pStyle w:val="Compact"/>
      </w:pPr>
      <w:r>
        <w:t xml:space="preserve">Materials Acquisition and Pre-processing</w:t>
      </w:r>
    </w:p>
    <w:p>
      <w:pPr>
        <w:numPr>
          <w:ilvl w:val="1"/>
          <w:numId w:val="1003"/>
        </w:numPr>
        <w:pStyle w:val="Compact"/>
      </w:pPr>
      <w:r>
        <w:t xml:space="preserve">Manufacturing (Production)</w:t>
      </w:r>
    </w:p>
    <w:p>
      <w:pPr>
        <w:numPr>
          <w:ilvl w:val="1"/>
          <w:numId w:val="1003"/>
        </w:numPr>
        <w:pStyle w:val="Compact"/>
      </w:pPr>
      <w:r>
        <w:t xml:space="preserve">Transportation (upstream and downstream)</w:t>
      </w:r>
    </w:p>
    <w:p>
      <w:pPr>
        <w:numPr>
          <w:ilvl w:val="1"/>
          <w:numId w:val="1003"/>
        </w:numPr>
        <w:pStyle w:val="Compact"/>
      </w:pPr>
      <w:r>
        <w:t xml:space="preserve">Use Phase</w:t>
      </w:r>
    </w:p>
    <w:p>
      <w:pPr>
        <w:numPr>
          <w:ilvl w:val="1"/>
          <w:numId w:val="1003"/>
        </w:numPr>
        <w:pStyle w:val="Compact"/>
      </w:pPr>
      <w:r>
        <w:t xml:space="preserve">End-of-Life Treatment</w:t>
      </w:r>
    </w:p>
    <w:bookmarkEnd w:id="24"/>
    <w:bookmarkStart w:id="25"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transport and use phase considerations within Europe)</w:t>
      </w:r>
    </w:p>
    <w:bookmarkEnd w:id="25"/>
    <w:bookmarkStart w:id="26" w:name="accounting-standard"/>
    <w:p>
      <w:pPr>
        <w:pStyle w:val="Heading3"/>
      </w:pPr>
      <w:r>
        <w:t xml:space="preserve">Accounting Standard</w:t>
      </w:r>
    </w:p>
    <w:p>
      <w:pPr>
        <w:numPr>
          <w:ilvl w:val="0"/>
          <w:numId w:val="1005"/>
        </w:numPr>
        <w:pStyle w:val="Compact"/>
      </w:pPr>
      <w:r>
        <w:t xml:space="preserve">This analysis strictly adheres to the</w:t>
      </w:r>
      <w:r>
        <w:t xml:space="preserve"> </w:t>
      </w:r>
      <w:r>
        <w:rPr>
          <w:bCs/>
          <w:b/>
        </w:rPr>
        <w:t xml:space="preserve">GHG Protocol Product Standard</w:t>
      </w:r>
      <w:r>
        <w:t xml:space="preserve"> </w:t>
      </w:r>
      <w:r>
        <w:t xml:space="preserve">(A Corporate Accounting and Reporting Standard).</w:t>
      </w:r>
    </w:p>
    <w:p>
      <w:pPr>
        <w:numPr>
          <w:ilvl w:val="0"/>
          <w:numId w:val="1005"/>
        </w:numPr>
        <w:pStyle w:val="Compact"/>
      </w:pPr>
      <w:r>
        <w:t xml:space="preserve">It incorporates considerations from the</w:t>
      </w:r>
      <w:r>
        <w:t xml:space="preserve"> </w:t>
      </w:r>
      <w:r>
        <w:rPr>
          <w:bCs/>
          <w:b/>
        </w:rPr>
        <w:t xml:space="preserve">2026 Land Sector and Removals (LSR) Standard</w:t>
      </w:r>
      <w:r>
        <w:t xml:space="preserve"> </w:t>
      </w:r>
      <w:r>
        <w:t xml:space="preserve">updates, acknowledging its importance for land use and carbon removals. Due to the absence of specific land-use change data, a full quantitative assessment of LSR is not performed in this report, but its relevance is highlighted for future, more granular analyses.</w:t>
      </w:r>
    </w:p>
    <w:bookmarkEnd w:id="26"/>
    <w:bookmarkStart w:id="27" w:name="allocation"/>
    <w:p>
      <w:pPr>
        <w:pStyle w:val="Heading3"/>
      </w:pPr>
      <w:r>
        <w:t xml:space="preserve">Allocation</w:t>
      </w:r>
    </w:p>
    <w:p>
      <w:pPr>
        <w:numPr>
          <w:ilvl w:val="0"/>
          <w:numId w:val="1006"/>
        </w:numPr>
        <w:pStyle w:val="Compact"/>
      </w:pPr>
      <w:r>
        <w:t xml:space="preserve">Emissions have been allocated directly to the functional unit. For multi-functional processes, mass-based allocation is implicitly used where components contribute proportionally to the product\'s total mass.</w:t>
      </w:r>
    </w:p>
    <w:p>
      <w:r>
        <w:pict>
          <v:rect style="width:0;height:1.5pt" o:hralign="center" o:hrstd="t" o:hr="t"/>
        </w:pict>
      </w:r>
    </w:p>
    <w:bookmarkEnd w:id="27"/>
    <w:bookmarkEnd w:id="28"/>
    <w:bookmarkStart w:id="30" w:name="map-lifecycle-lci-inventory-stages"/>
    <w:p>
      <w:pPr>
        <w:pStyle w:val="Heading2"/>
      </w:pPr>
      <w:r>
        <w:t xml:space="preserve">2. Map Lifecycle (LCI Inventory Stages)</w:t>
      </w:r>
    </w:p>
    <w:p>
      <w:pPr>
        <w:pStyle w:val="FirstParagraph"/>
      </w:pPr>
      <w:r>
        <w:t xml:space="preserve">The lifecycle of "ikdngqvzly" is mapped into distinct stages to systematically account for all relevant greenhouse gas emissions. These stages cover the entire journey of the product from raw material extraction to its end-of-life.</w:t>
      </w:r>
    </w:p>
    <w:bookmarkStart w:id="29" w:name="lifecycle-stages"/>
    <w:p>
      <w:pPr>
        <w:pStyle w:val="Heading3"/>
      </w:pPr>
      <w:r>
        <w:t xml:space="preserve">Lifecycle Stages:</w:t>
      </w:r>
    </w:p>
    <w:p>
      <w:pPr>
        <w:numPr>
          <w:ilvl w:val="0"/>
          <w:numId w:val="1007"/>
        </w:numPr>
        <w:pStyle w:val="Compact"/>
      </w:pPr>
      <w:r>
        <w:rPr>
          <w:bCs/>
          <w:b/>
        </w:rPr>
        <w:t xml:space="preserve">Materials Acquisition &amp; Pre-processing (Scope 3, Category 1 - Purchased Goods and Services):</w:t>
      </w:r>
      <w:r>
        <w:t xml:space="preserve"> </w:t>
      </w:r>
      <w:r>
        <w:t xml:space="preserve">This stage covers the extraction of raw materials, their initial processing, and the manufacturing of components as specified in the Bill of Materials (BOM). The carbon footprint for this stage is derived directly from the "Total Carbon" values provided in the BOM.</w:t>
      </w:r>
    </w:p>
    <w:p>
      <w:pPr>
        <w:numPr>
          <w:ilvl w:val="0"/>
          <w:numId w:val="1007"/>
        </w:numPr>
        <w:pStyle w:val="Compact"/>
      </w:pPr>
      <w:r>
        <w:rPr>
          <w:bCs/>
          <w:b/>
        </w:rPr>
        <w:t xml:space="preserve">Manufacturing (Scope 1 &amp; 2):</w:t>
      </w:r>
      <w:r>
        <w:t xml:space="preserve"> </w:t>
      </w:r>
      <w:r>
        <w:t xml:space="preserve">Encompasses the energy consumption (electricity and direct fuel use) and any direct process emissions during the assembly and production of "ikdngqvzly" in China.</w:t>
      </w:r>
    </w:p>
    <w:p>
      <w:pPr>
        <w:numPr>
          <w:ilvl w:val="0"/>
          <w:numId w:val="1007"/>
        </w:numPr>
        <w:pStyle w:val="Compact"/>
      </w:pPr>
      <w:r>
        <w:rPr>
          <w:bCs/>
          <w:b/>
        </w:rPr>
        <w:t xml:space="preserve">Transport (Scope 3, Categories 4 &amp; 9):</w:t>
      </w:r>
      <w:r>
        <w:t xml:space="preserve"> </w:t>
      </w:r>
      <w:r>
        <w:t xml:space="preserve">Includes the transportation of the finished product from the manufacturing facility in China to distribution points in Europe (upstream transportation) and subsequent last-mile delivery to the end-user (downstream transportation).</w:t>
      </w:r>
    </w:p>
    <w:p>
      <w:pPr>
        <w:numPr>
          <w:ilvl w:val="0"/>
          <w:numId w:val="1007"/>
        </w:numPr>
        <w:pStyle w:val="Compact"/>
      </w:pPr>
      <w:r>
        <w:rPr>
          <w:bCs/>
          <w:b/>
        </w:rPr>
        <w:t xml:space="preserve">Use Phase (Scope 3, Category 11 - Use of Sold Products):</w:t>
      </w:r>
      <w:r>
        <w:t xml:space="preserve"> </w:t>
      </w:r>
      <w:r>
        <w:t xml:space="preserve">Accounts for the energy consumption during the product\'s operational lifespan, based on its energy intensity and expected duration of use in Europe.</w:t>
      </w:r>
    </w:p>
    <w:p>
      <w:pPr>
        <w:numPr>
          <w:ilvl w:val="0"/>
          <w:numId w:val="1007"/>
        </w:numPr>
        <w:pStyle w:val="Compact"/>
      </w:pPr>
      <w:r>
        <w:rPr>
          <w:bCs/>
          <w:b/>
        </w:rPr>
        <w:t xml:space="preserve">End-of-Life (EoL) (Scope 3, Category 12 - End-of-Life Treatment of Sold Products):</w:t>
      </w:r>
      <w:r>
        <w:t xml:space="preserve"> </w:t>
      </w:r>
      <w:r>
        <w:t xml:space="preserve">Addresses emissions and potential credits associated with the disposal or recycling of the product at the end of its useful life, considering recyclability and circular economy programs.</w:t>
      </w:r>
    </w:p>
    <w:p>
      <w:r>
        <w:pict>
          <v:rect style="width:0;height:1.5pt" o:hralign="center" o:hrstd="t" o:hr="t"/>
        </w:pict>
      </w:r>
    </w:p>
    <w:bookmarkEnd w:id="29"/>
    <w:bookmarkEnd w:id="30"/>
    <w:bookmarkStart w:id="37" w:name="collect-data"/>
    <w:p>
      <w:pPr>
        <w:pStyle w:val="Heading2"/>
      </w:pPr>
      <w:r>
        <w:t xml:space="preserve">3. Collect Data</w:t>
      </w:r>
    </w:p>
    <w:p>
      <w:pPr>
        <w:pStyle w:val="FirstParagraph"/>
      </w:pPr>
      <w:r>
        <w:t xml:space="preserve">Data collection involved both primary (provided parameters) and secondary (industry-average emission factors, assumptions for placeholders) data points. Specific placeholder values have been assigned for calculation purposes, and these assumptions are explicitly stated below.</w:t>
      </w:r>
    </w:p>
    <w:bookmarkStart w:id="31" w:name="detailed-bill-of-materials-bom-jzplzthm"/>
    <w:p>
      <w:pPr>
        <w:pStyle w:val="Heading3"/>
      </w:pPr>
      <w:r>
        <w:t xml:space="preserve">Detailed Bill of Materials (BOM): jzplzthm</w:t>
      </w:r>
    </w:p>
    <w:p>
      <w:pPr>
        <w:pStyle w:val="FirstParagraph"/>
      </w:pPr>
      <w:r>
        <w:t xml:space="preserve">The following Bill of Materials details the components of ikdngqvzly. The \'Total Carbon\' for each item, as provided, is used for calculating the material acquisition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0.15</w:t>
            </w:r>
          </w:p>
        </w:tc>
      </w:tr>
    </w:tbl>
    <w:p>
      <w:pPr>
        <w:pStyle w:val="BodyText"/>
      </w:pPr>
      <w:r>
        <w:rPr>
          <w:bCs/>
          <w:b/>
        </w:rPr>
        <w:t xml:space="preserve">Total Product Weight (estimated from BOM):</w:t>
      </w:r>
      <w:r>
        <w:t xml:space="preserve"> </w:t>
      </w:r>
      <w:r>
        <w:t xml:space="preserve">0.95 kg (sum of quantities assuming 0.1 unit for circuit board corresponds to ~0.1kg)</w:t>
      </w:r>
    </w:p>
    <w:bookmarkEnd w:id="31"/>
    <w:bookmarkStart w:id="32" w:name="logistics-data"/>
    <w:p>
      <w:pPr>
        <w:pStyle w:val="Heading3"/>
      </w:pPr>
      <w:r>
        <w:t xml:space="preserve">Logistics Data</w:t>
      </w:r>
    </w:p>
    <w:p>
      <w:pPr>
        <w:numPr>
          <w:ilvl w:val="0"/>
          <w:numId w:val="1008"/>
        </w:numPr>
        <w:pStyle w:val="Compact"/>
      </w:pPr>
      <w:r>
        <w:rPr>
          <w:bCs/>
          <w:b/>
        </w:rPr>
        <w:t xml:space="preserve">Primary Transport Mode (China to Europe):</w:t>
      </w:r>
      <w:r>
        <w:t xml:space="preserve"> </w:t>
      </w:r>
      <w:r>
        <w:t xml:space="preserve">Ocean Freight (Container Ship) [Assumption for "Select Mode"]</w:t>
      </w:r>
    </w:p>
    <w:p>
      <w:pPr>
        <w:numPr>
          <w:ilvl w:val="0"/>
          <w:numId w:val="1008"/>
        </w:numPr>
        <w:pStyle w:val="Compact"/>
      </w:pPr>
      <w:r>
        <w:rPr>
          <w:bCs/>
          <w:b/>
        </w:rPr>
        <w:t xml:space="preserve">Local Distribution Mode (within Europe):</w:t>
      </w:r>
      <w:r>
        <w:t xml:space="preserve"> </w:t>
      </w:r>
      <w:r>
        <w:t xml:space="preserve">Road Freight (Heavy Goods Vehicle) [Assumption for "Select Mode"]</w:t>
      </w:r>
    </w:p>
    <w:p>
      <w:pPr>
        <w:numPr>
          <w:ilvl w:val="0"/>
          <w:numId w:val="1008"/>
        </w:numPr>
        <w:pStyle w:val="Compact"/>
      </w:pPr>
      <w:r>
        <w:rPr>
          <w:bCs/>
          <w:b/>
        </w:rPr>
        <w:t xml:space="preserve">Primary Transport Distance (China to Europe):</w:t>
      </w:r>
      <w:r>
        <w:t xml:space="preserve"> </w:t>
      </w:r>
      <w:r>
        <w:t xml:space="preserve">15,000 km [Assumption for "yorkvgnjnw"]</w:t>
      </w:r>
    </w:p>
    <w:p>
      <w:pPr>
        <w:numPr>
          <w:ilvl w:val="0"/>
          <w:numId w:val="1008"/>
        </w:numPr>
        <w:pStyle w:val="Compact"/>
      </w:pPr>
      <w:r>
        <w:rPr>
          <w:bCs/>
          <w:b/>
        </w:rPr>
        <w:t xml:space="preserve">Local Distribution Distance (within Europe):</w:t>
      </w:r>
      <w:r>
        <w:t xml:space="preserve"> </w:t>
      </w:r>
      <w:r>
        <w:t xml:space="preserve">500 km [Assumption for "yorkvgnjnw"]</w:t>
      </w:r>
    </w:p>
    <w:p>
      <w:pPr>
        <w:numPr>
          <w:ilvl w:val="0"/>
          <w:numId w:val="1008"/>
        </w:numPr>
        <w:pStyle w:val="Compact"/>
      </w:pPr>
      <w:r>
        <w:rPr>
          <w:bCs/>
          <w:b/>
        </w:rPr>
        <w:t xml:space="preserve">Last-Mile Delivery Channel:</w:t>
      </w:r>
      <w:r>
        <w:t xml:space="preserve"> </w:t>
      </w:r>
      <w:r>
        <w:t xml:space="preserve">Small Van (Diesel) [Assumption for "Delivery Type"]</w:t>
      </w:r>
    </w:p>
    <w:bookmarkEnd w:id="32"/>
    <w:bookmarkStart w:id="33" w:name="production-energy-data"/>
    <w:p>
      <w:pPr>
        <w:pStyle w:val="Heading3"/>
      </w:pPr>
      <w:r>
        <w:t xml:space="preserve">Production Energy Data</w:t>
      </w:r>
    </w:p>
    <w:p>
      <w:pPr>
        <w:numPr>
          <w:ilvl w:val="0"/>
          <w:numId w:val="1009"/>
        </w:numPr>
        <w:pStyle w:val="Compact"/>
      </w:pPr>
      <w:r>
        <w:rPr>
          <w:bCs/>
          <w:b/>
        </w:rPr>
        <w:t xml:space="preserve">Renewable Energy Usage:</w:t>
      </w:r>
      <w:r>
        <w:t xml:space="preserve"> </w:t>
      </w:r>
      <w:r>
        <w:t xml:space="preserve">50% [Assumption for "skzleposst"]</w:t>
      </w:r>
    </w:p>
    <w:p>
      <w:pPr>
        <w:numPr>
          <w:ilvl w:val="0"/>
          <w:numId w:val="1009"/>
        </w:numPr>
        <w:pStyle w:val="Compact"/>
      </w:pPr>
      <w:r>
        <w:rPr>
          <w:bCs/>
          <w:b/>
        </w:rPr>
        <w:t xml:space="preserve">Energy Intensity (kWh/unit) in Production:</w:t>
      </w:r>
      <w:r>
        <w:t xml:space="preserve"> </w:t>
      </w:r>
      <w:r>
        <w:t xml:space="preserve">10 kWh/unit [Assumption for "kmzxmtunpk"]</w:t>
      </w:r>
    </w:p>
    <w:bookmarkEnd w:id="33"/>
    <w:bookmarkStart w:id="34" w:name="product-use-phase-data"/>
    <w:p>
      <w:pPr>
        <w:pStyle w:val="Heading3"/>
      </w:pPr>
      <w:r>
        <w:t xml:space="preserve">Product Use Phase Data</w:t>
      </w:r>
    </w:p>
    <w:p>
      <w:pPr>
        <w:numPr>
          <w:ilvl w:val="0"/>
          <w:numId w:val="1010"/>
        </w:numPr>
        <w:pStyle w:val="Compact"/>
      </w:pPr>
      <w:r>
        <w:rPr>
          <w:bCs/>
          <w:b/>
        </w:rPr>
        <w:t xml:space="preserve">Product Lifespan:</w:t>
      </w:r>
      <w:r>
        <w:t xml:space="preserve"> </w:t>
      </w:r>
      <w:r>
        <w:t xml:space="preserve">5 years [Assumption for "qdylsiqmll"]</w:t>
      </w:r>
    </w:p>
    <w:p>
      <w:pPr>
        <w:numPr>
          <w:ilvl w:val="0"/>
          <w:numId w:val="1010"/>
        </w:numPr>
        <w:pStyle w:val="Compact"/>
      </w:pPr>
      <w:r>
        <w:rPr>
          <w:bCs/>
          <w:b/>
        </w:rPr>
        <w:t xml:space="preserve">Energy Consumption in Use:</w:t>
      </w:r>
      <w:r>
        <w:t xml:space="preserve"> </w:t>
      </w:r>
      <w:r>
        <w:t xml:space="preserve">50 kWh/year [Assumption for "lexomudqyv"]</w:t>
      </w:r>
    </w:p>
    <w:bookmarkEnd w:id="34"/>
    <w:bookmarkStart w:id="35" w:name="end-of-life-data"/>
    <w:p>
      <w:pPr>
        <w:pStyle w:val="Heading3"/>
      </w:pPr>
      <w:r>
        <w:t xml:space="preserve">End-of-Life Data</w:t>
      </w:r>
    </w:p>
    <w:p>
      <w:pPr>
        <w:numPr>
          <w:ilvl w:val="0"/>
          <w:numId w:val="1011"/>
        </w:numPr>
        <w:pStyle w:val="Compact"/>
      </w:pPr>
      <w:r>
        <w:rPr>
          <w:bCs/>
          <w:b/>
        </w:rPr>
        <w:t xml:space="preserve">Recyclability Percentage:</w:t>
      </w:r>
      <w:r>
        <w:t xml:space="preserve"> </w:t>
      </w:r>
      <w:r>
        <w:t xml:space="preserve">70% [Assumption for "rlwdrxyeko"]</w:t>
      </w:r>
    </w:p>
    <w:p>
      <w:pPr>
        <w:numPr>
          <w:ilvl w:val="0"/>
          <w:numId w:val="1011"/>
        </w:numPr>
        <w:pStyle w:val="Compact"/>
      </w:pPr>
      <w:r>
        <w:rPr>
          <w:bCs/>
          <w:b/>
        </w:rPr>
        <w:t xml:space="preserve">Circular/Take-back Programs:</w:t>
      </w:r>
      <w:r>
        <w:t xml:space="preserve"> </w:t>
      </w:r>
      <w:r>
        <w:t xml:space="preserve">Yes, operational. This indicates the potential for recycling credits. [Assumption for "dvhfhgqzlp"]</w:t>
      </w:r>
    </w:p>
    <w:bookmarkEnd w:id="35"/>
    <w:bookmarkStart w:id="36" w:name="X7a5ab10694e5afc9897ac60b3cd6dda5bc58706"/>
    <w:p>
      <w:pPr>
        <w:pStyle w:val="Heading3"/>
      </w:pPr>
      <w:r>
        <w:t xml:space="preserve">Emission Factors (Illustrative Industry Averages)</w:t>
      </w:r>
    </w:p>
    <w:p>
      <w:pPr>
        <w:pStyle w:val="FirstParagraph"/>
      </w:pPr>
      <w:r>
        <w:t xml:space="preserve">For stages where emission factors were not directly provided (e.g., transport, energy, EoL), industry-standard illustrative averages have been used:</w:t>
      </w:r>
    </w:p>
    <w:p>
      <w:pPr>
        <w:numPr>
          <w:ilvl w:val="0"/>
          <w:numId w:val="1012"/>
        </w:numPr>
        <w:pStyle w:val="Compact"/>
      </w:pPr>
      <w:r>
        <w:rPr>
          <w:bCs/>
          <w:b/>
        </w:rPr>
        <w:t xml:space="preserve">Electricity Grid (China Average, non-renewable portion):</w:t>
      </w:r>
      <w:r>
        <w:t xml:space="preserve"> </w:t>
      </w:r>
      <w:r>
        <w:t xml:space="preserve">0.6 kg CO2e/kWh</w:t>
      </w:r>
    </w:p>
    <w:p>
      <w:pPr>
        <w:numPr>
          <w:ilvl w:val="0"/>
          <w:numId w:val="1012"/>
        </w:numPr>
        <w:pStyle w:val="Compact"/>
      </w:pPr>
      <w:r>
        <w:rPr>
          <w:bCs/>
          <w:b/>
        </w:rPr>
        <w:t xml:space="preserve">Electricity Grid (Europe Average, non-renewable portion):</w:t>
      </w:r>
      <w:r>
        <w:t xml:space="preserve"> </w:t>
      </w:r>
      <w:r>
        <w:t xml:space="preserve">0.25 kg CO2e/kWh</w:t>
      </w:r>
    </w:p>
    <w:p>
      <w:pPr>
        <w:numPr>
          <w:ilvl w:val="0"/>
          <w:numId w:val="1012"/>
        </w:numPr>
        <w:pStyle w:val="Compact"/>
      </w:pPr>
      <w:r>
        <w:rPr>
          <w:bCs/>
          <w:b/>
        </w:rPr>
        <w:t xml:space="preserve">Ocean Freight (Container Ship):</w:t>
      </w:r>
      <w:r>
        <w:t xml:space="preserve"> </w:t>
      </w:r>
      <w:r>
        <w:t xml:space="preserve">0.003 kg CO2e/tonne-km (tkm)</w:t>
      </w:r>
    </w:p>
    <w:p>
      <w:pPr>
        <w:numPr>
          <w:ilvl w:val="0"/>
          <w:numId w:val="1012"/>
        </w:numPr>
        <w:pStyle w:val="Compact"/>
      </w:pPr>
      <w:r>
        <w:rPr>
          <w:bCs/>
          <w:b/>
        </w:rPr>
        <w:t xml:space="preserve">Road Freight (Heavy Goods Vehicle - HGV):</w:t>
      </w:r>
      <w:r>
        <w:t xml:space="preserve"> </w:t>
      </w:r>
      <w:r>
        <w:t xml:space="preserve">0.08 kg CO2e/tonne-km (tkm)</w:t>
      </w:r>
    </w:p>
    <w:p>
      <w:pPr>
        <w:numPr>
          <w:ilvl w:val="0"/>
          <w:numId w:val="1012"/>
        </w:numPr>
        <w:pStyle w:val="Compact"/>
      </w:pPr>
      <w:r>
        <w:rPr>
          <w:bCs/>
          <w:b/>
        </w:rPr>
        <w:t xml:space="preserve">Small Van (Diesel, last-mile):</w:t>
      </w:r>
      <w:r>
        <w:t xml:space="preserve"> </w:t>
      </w:r>
      <w:r>
        <w:t xml:space="preserve">0.2 kg CO2e/delivery (assumed per unit)</w:t>
      </w:r>
    </w:p>
    <w:p>
      <w:pPr>
        <w:numPr>
          <w:ilvl w:val="0"/>
          <w:numId w:val="1012"/>
        </w:numPr>
        <w:pStyle w:val="Compact"/>
      </w:pPr>
      <w:r>
        <w:rPr>
          <w:bCs/>
          <w:b/>
        </w:rPr>
        <w:t xml:space="preserve">Waste to Landfill (Mixed):</w:t>
      </w:r>
      <w:r>
        <w:t xml:space="preserve"> </w:t>
      </w:r>
      <w:r>
        <w:t xml:space="preserve">0.5 kg CO2e/kg</w:t>
      </w:r>
    </w:p>
    <w:p>
      <w:pPr>
        <w:numPr>
          <w:ilvl w:val="0"/>
          <w:numId w:val="1012"/>
        </w:numPr>
        <w:pStyle w:val="Compact"/>
      </w:pPr>
      <w:r>
        <w:rPr>
          <w:bCs/>
          <w:b/>
        </w:rPr>
        <w:t xml:space="preserve">Recycling Credit (Illustrative, average for mixed materials):</w:t>
      </w:r>
      <w:r>
        <w:t xml:space="preserve"> </w:t>
      </w:r>
      <w:r>
        <w:t xml:space="preserve">-1.5 kg CO2e/kg (representing avoided emissions from virgin material production)</w:t>
      </w:r>
    </w:p>
    <w:p>
      <w:r>
        <w:pict>
          <v:rect style="width:0;height:1.5pt" o:hralign="center" o:hrstd="t" o:hr="t"/>
        </w:pict>
      </w:r>
    </w:p>
    <w:bookmarkEnd w:id="36"/>
    <w:bookmarkEnd w:id="37"/>
    <w:bookmarkStart w:id="46" w:name="calculate-emissions"/>
    <w:p>
      <w:pPr>
        <w:pStyle w:val="Heading2"/>
      </w:pPr>
      <w:r>
        <w:t xml:space="preserve">4. Calculate Emissions</w:t>
      </w:r>
    </w:p>
    <w:p>
      <w:pPr>
        <w:pStyle w:val="FirstParagraph"/>
      </w:pPr>
      <w:r>
        <w:t xml:space="preserve">Emissions are calculated for each lifecycle stage and categorized according to the GHG Protocol\'s Scope 1, Scope 2, and Scope 3 definitions.</w:t>
      </w:r>
    </w:p>
    <w:bookmarkStart w:id="43" w:name="Xd0132ce08789021fed0a032300bf344e103fd87"/>
    <w:p>
      <w:pPr>
        <w:pStyle w:val="Heading3"/>
      </w:pPr>
      <w:r>
        <w:t xml:space="preserve">Detailed Emissions Breakdown per Functional Unit (1.0 unit)</w:t>
      </w:r>
    </w:p>
    <w:bookmarkStart w:id="38" w:name="Xf04f8c4b8bf2e47e33084991dc6e08870b2f4f9"/>
    <w:p>
      <w:pPr>
        <w:pStyle w:val="Heading4"/>
      </w:pPr>
      <w:r>
        <w:t xml:space="preserve">Materials Acquisition &amp; Pre-processing (Scope 3 - Category 1)</w:t>
      </w:r>
    </w:p>
    <w:p>
      <w:pPr>
        <w:pStyle w:val="FirstParagraph"/>
      </w:pPr>
      <w:r>
        <w:t xml:space="preserve">The impact from materials is directly taken from the provided \'Total Carbon\' values in the BOM.</w:t>
      </w:r>
    </w:p>
    <w:p>
      <w:pPr>
        <w:numPr>
          <w:ilvl w:val="0"/>
          <w:numId w:val="1013"/>
        </w:numPr>
        <w:pStyle w:val="Compact"/>
      </w:pPr>
      <w:r>
        <w:t xml:space="preserve">Aluminum Casing: 3.50 kg CO2e</w:t>
      </w:r>
    </w:p>
    <w:p>
      <w:pPr>
        <w:numPr>
          <w:ilvl w:val="0"/>
          <w:numId w:val="1013"/>
        </w:numPr>
        <w:pStyle w:val="Compact"/>
      </w:pPr>
      <w:r>
        <w:t xml:space="preserve">Plastic Enclosure: 0.60 kg CO2e</w:t>
      </w:r>
    </w:p>
    <w:p>
      <w:pPr>
        <w:numPr>
          <w:ilvl w:val="0"/>
          <w:numId w:val="1013"/>
        </w:numPr>
        <w:pStyle w:val="Compact"/>
      </w:pPr>
      <w:r>
        <w:t xml:space="preserve">Circuit Board: 1.00 kg CO2e</w:t>
      </w:r>
    </w:p>
    <w:p>
      <w:pPr>
        <w:numPr>
          <w:ilvl w:val="0"/>
          <w:numId w:val="1013"/>
        </w:numPr>
        <w:pStyle w:val="Compact"/>
      </w:pPr>
      <w:r>
        <w:t xml:space="preserve">Copper Wire: 0.20 kg CO2e</w:t>
      </w:r>
    </w:p>
    <w:p>
      <w:pPr>
        <w:numPr>
          <w:ilvl w:val="0"/>
          <w:numId w:val="1013"/>
        </w:numPr>
        <w:pStyle w:val="Compact"/>
      </w:pPr>
      <w:r>
        <w:t xml:space="preserve">Packaging Cardboard: 0.15 kg CO2e</w:t>
      </w:r>
    </w:p>
    <w:p>
      <w:pPr>
        <w:pStyle w:val="FirstParagraph"/>
      </w:pPr>
      <w:r>
        <w:rPr>
          <w:bCs/>
          <w:b/>
        </w:rPr>
        <w:t xml:space="preserve">Subtotal Material Impact: 5.45 kg CO2e</w:t>
      </w:r>
    </w:p>
    <w:bookmarkEnd w:id="38"/>
    <w:bookmarkStart w:id="39" w:name="manufacturing-scope-1-2"/>
    <w:p>
      <w:pPr>
        <w:pStyle w:val="Heading4"/>
      </w:pPr>
      <w:r>
        <w:t xml:space="preserve">Manufacturing (Scope 1 &amp; 2)</w:t>
      </w:r>
    </w:p>
    <w:p>
      <w:pPr>
        <w:numPr>
          <w:ilvl w:val="0"/>
          <w:numId w:val="1014"/>
        </w:numPr>
        <w:pStyle w:val="Compact"/>
      </w:pPr>
      <w:r>
        <w:rPr>
          <w:bCs/>
          <w:b/>
        </w:rPr>
        <w:t xml:space="preserve">Energy Intensity:</w:t>
      </w:r>
      <w:r>
        <w:t xml:space="preserve"> </w:t>
      </w:r>
      <w:r>
        <w:t xml:space="preserve">10 kWh/unit</w:t>
      </w:r>
    </w:p>
    <w:p>
      <w:pPr>
        <w:numPr>
          <w:ilvl w:val="0"/>
          <w:numId w:val="1014"/>
        </w:numPr>
        <w:pStyle w:val="Compact"/>
      </w:pPr>
      <w:r>
        <w:rPr>
          <w:bCs/>
          <w:b/>
        </w:rPr>
        <w:t xml:space="preserve">Renewable Energy Usage:</w:t>
      </w:r>
      <w:r>
        <w:t xml:space="preserve"> </w:t>
      </w:r>
      <w:r>
        <w:t xml:space="preserve">50%</w:t>
      </w:r>
    </w:p>
    <w:p>
      <w:pPr>
        <w:numPr>
          <w:ilvl w:val="0"/>
          <w:numId w:val="1014"/>
        </w:numPr>
        <w:pStyle w:val="Compact"/>
      </w:pPr>
      <w:r>
        <w:rPr>
          <w:bCs/>
          <w:b/>
        </w:rPr>
        <w:t xml:space="preserve">Non-renewable Electricity Consumption:</w:t>
      </w:r>
      <w:r>
        <w:t xml:space="preserve"> </w:t>
      </w:r>
      <w:r>
        <w:t xml:space="preserve">10 kWh/unit * (1 - 0.50) = 5 kWh/unit</w:t>
      </w:r>
    </w:p>
    <w:p>
      <w:pPr>
        <w:numPr>
          <w:ilvl w:val="0"/>
          <w:numId w:val="1014"/>
        </w:numPr>
        <w:pStyle w:val="Compact"/>
      </w:pPr>
      <w:r>
        <w:rPr>
          <w:bCs/>
          <w:b/>
        </w:rPr>
        <w:t xml:space="preserve">Emissions from Electricity (Scope 2):</w:t>
      </w:r>
      <w:r>
        <w:t xml:space="preserve"> </w:t>
      </w:r>
      <w:r>
        <w:t xml:space="preserve">5 kWh/unit * 0.6 kg CO2e/kWh (China grid) = 3.00 kg CO2e</w:t>
      </w:r>
    </w:p>
    <w:p>
      <w:pPr>
        <w:numPr>
          <w:ilvl w:val="0"/>
          <w:numId w:val="1014"/>
        </w:numPr>
        <w:pStyle w:val="Compact"/>
      </w:pPr>
      <w:r>
        <w:rPr>
          <w:bCs/>
          <w:b/>
        </w:rPr>
        <w:t xml:space="preserve">Direct Emissions (Scope 1):</w:t>
      </w:r>
      <w:r>
        <w:t xml:space="preserve"> </w:t>
      </w:r>
      <w:r>
        <w:t xml:space="preserve">0.00 kg CO2e (Assumed negligible as no specific direct combustion data provided for manufacturing processes)</w:t>
      </w:r>
    </w:p>
    <w:p>
      <w:pPr>
        <w:pStyle w:val="FirstParagraph"/>
      </w:pPr>
      <w:r>
        <w:rPr>
          <w:bCs/>
          <w:b/>
        </w:rPr>
        <w:t xml:space="preserve">Subtotal Manufacturing Impact: 3.00 kg CO2e</w:t>
      </w:r>
    </w:p>
    <w:bookmarkEnd w:id="39"/>
    <w:bookmarkStart w:id="40" w:name="transport-scope-3---category-4-9"/>
    <w:p>
      <w:pPr>
        <w:pStyle w:val="Heading4"/>
      </w:pPr>
      <w:r>
        <w:t xml:space="preserve">Transport (Scope 3 - Category 4 &amp; 9)</w:t>
      </w:r>
    </w:p>
    <w:p>
      <w:pPr>
        <w:pStyle w:val="FirstParagraph"/>
      </w:pPr>
      <w:r>
        <w:t xml:space="preserve">Product Weight for transport: 0.95 kg (0.00095 tonnes)</w:t>
      </w:r>
    </w:p>
    <w:p>
      <w:pPr>
        <w:numPr>
          <w:ilvl w:val="0"/>
          <w:numId w:val="1015"/>
        </w:numPr>
        <w:pStyle w:val="Compact"/>
      </w:pPr>
      <w:r>
        <w:rPr>
          <w:bCs/>
          <w:b/>
        </w:rPr>
        <w:t xml:space="preserve">Primary Transport (China to Europe, Scope 3 - Category 4):</w:t>
      </w:r>
    </w:p>
    <w:p>
      <w:pPr>
        <w:numPr>
          <w:ilvl w:val="1"/>
          <w:numId w:val="1016"/>
        </w:numPr>
        <w:pStyle w:val="Compact"/>
      </w:pPr>
      <w:r>
        <w:t xml:space="preserve">Mode: Ocean Freight (Container Ship)</w:t>
      </w:r>
    </w:p>
    <w:p>
      <w:pPr>
        <w:numPr>
          <w:ilvl w:val="1"/>
          <w:numId w:val="1016"/>
        </w:numPr>
        <w:pStyle w:val="Compact"/>
      </w:pPr>
      <w:r>
        <w:t xml:space="preserve">Distance: 15,000 km</w:t>
      </w:r>
    </w:p>
    <w:p>
      <w:pPr>
        <w:numPr>
          <w:ilvl w:val="1"/>
          <w:numId w:val="1016"/>
        </w:numPr>
        <w:pStyle w:val="Compact"/>
      </w:pPr>
      <w:r>
        <w:t xml:space="preserve">Emissions: 0.00095 tonnes * 15,000 km * 0.003 kg CO2e/tkm = 0.0428 kg CO2e</w:t>
      </w:r>
    </w:p>
    <w:p>
      <w:pPr>
        <w:numPr>
          <w:ilvl w:val="0"/>
          <w:numId w:val="1015"/>
        </w:numPr>
        <w:pStyle w:val="Compact"/>
      </w:pPr>
      <w:r>
        <w:rPr>
          <w:bCs/>
          <w:b/>
        </w:rPr>
        <w:t xml:space="preserve">Local Distribution (within Europe, Scope 3 - Category 4):</w:t>
      </w:r>
    </w:p>
    <w:p>
      <w:pPr>
        <w:numPr>
          <w:ilvl w:val="1"/>
          <w:numId w:val="1017"/>
        </w:numPr>
        <w:pStyle w:val="Compact"/>
      </w:pPr>
      <w:r>
        <w:t xml:space="preserve">Mode: Road Freight (HGV)</w:t>
      </w:r>
    </w:p>
    <w:p>
      <w:pPr>
        <w:numPr>
          <w:ilvl w:val="1"/>
          <w:numId w:val="1017"/>
        </w:numPr>
        <w:pStyle w:val="Compact"/>
      </w:pPr>
      <w:r>
        <w:t xml:space="preserve">Distance: 500 km</w:t>
      </w:r>
    </w:p>
    <w:p>
      <w:pPr>
        <w:numPr>
          <w:ilvl w:val="1"/>
          <w:numId w:val="1017"/>
        </w:numPr>
        <w:pStyle w:val="Compact"/>
      </w:pPr>
      <w:r>
        <w:t xml:space="preserve">Emissions: 0.00095 tonnes * 500 km * 0.08 kg CO2e/tkm = 0.0380 kg CO2e</w:t>
      </w:r>
    </w:p>
    <w:p>
      <w:pPr>
        <w:numPr>
          <w:ilvl w:val="0"/>
          <w:numId w:val="1015"/>
        </w:numPr>
        <w:pStyle w:val="Compact"/>
      </w:pPr>
      <w:r>
        <w:rPr>
          <w:bCs/>
          <w:b/>
        </w:rPr>
        <w:t xml:space="preserve">Last-Mile Delivery (Scope 3 - Category 9):</w:t>
      </w:r>
    </w:p>
    <w:p>
      <w:pPr>
        <w:numPr>
          <w:ilvl w:val="1"/>
          <w:numId w:val="1018"/>
        </w:numPr>
        <w:pStyle w:val="Compact"/>
      </w:pPr>
      <w:r>
        <w:t xml:space="preserve">Mode: Small Van (Diesel)</w:t>
      </w:r>
    </w:p>
    <w:p>
      <w:pPr>
        <w:numPr>
          <w:ilvl w:val="1"/>
          <w:numId w:val="1018"/>
        </w:numPr>
        <w:pStyle w:val="Compact"/>
      </w:pPr>
      <w:r>
        <w:t xml:space="preserve">Emissions: 0.2 kg CO2e/delivery = 0.20 kg CO2e</w:t>
      </w:r>
    </w:p>
    <w:p>
      <w:pPr>
        <w:pStyle w:val="FirstParagraph"/>
      </w:pPr>
      <w:r>
        <w:rPr>
          <w:bCs/>
          <w:b/>
        </w:rPr>
        <w:t xml:space="preserve">Subtotal Transport Impact: 0.28 kg CO2e</w:t>
      </w:r>
    </w:p>
    <w:bookmarkEnd w:id="40"/>
    <w:bookmarkStart w:id="41" w:name="use-phase-scope-3---category-11"/>
    <w:p>
      <w:pPr>
        <w:pStyle w:val="Heading4"/>
      </w:pPr>
      <w:r>
        <w:t xml:space="preserve">Use Phase (Scope 3 - Category 11)</w:t>
      </w:r>
    </w:p>
    <w:p>
      <w:pPr>
        <w:numPr>
          <w:ilvl w:val="0"/>
          <w:numId w:val="1019"/>
        </w:numPr>
        <w:pStyle w:val="Compact"/>
      </w:pPr>
      <w:r>
        <w:rPr>
          <w:bCs/>
          <w:b/>
        </w:rPr>
        <w:t xml:space="preserve">Product Lifespan:</w:t>
      </w:r>
      <w:r>
        <w:t xml:space="preserve"> </w:t>
      </w:r>
      <w:r>
        <w:t xml:space="preserve">5 years</w:t>
      </w:r>
    </w:p>
    <w:p>
      <w:pPr>
        <w:numPr>
          <w:ilvl w:val="0"/>
          <w:numId w:val="1019"/>
        </w:numPr>
        <w:pStyle w:val="Compact"/>
      </w:pPr>
      <w:r>
        <w:rPr>
          <w:bCs/>
          <w:b/>
        </w:rPr>
        <w:t xml:space="preserve">Energy Consumption in Use:</w:t>
      </w:r>
      <w:r>
        <w:t xml:space="preserve"> </w:t>
      </w:r>
      <w:r>
        <w:t xml:space="preserve">50 kWh/year</w:t>
      </w:r>
    </w:p>
    <w:p>
      <w:pPr>
        <w:numPr>
          <w:ilvl w:val="0"/>
          <w:numId w:val="1019"/>
        </w:numPr>
        <w:pStyle w:val="Compact"/>
      </w:pPr>
      <w:r>
        <w:rPr>
          <w:bCs/>
          <w:b/>
        </w:rPr>
        <w:t xml:space="preserve">Total Use Phase Energy:</w:t>
      </w:r>
      <w:r>
        <w:t xml:space="preserve"> </w:t>
      </w:r>
      <w:r>
        <w:t xml:space="preserve">50 kWh/year * 5 years = 250 kWh/unit</w:t>
      </w:r>
    </w:p>
    <w:p>
      <w:pPr>
        <w:numPr>
          <w:ilvl w:val="0"/>
          <w:numId w:val="1019"/>
        </w:numPr>
        <w:pStyle w:val="Compact"/>
      </w:pPr>
      <w:r>
        <w:rPr>
          <w:bCs/>
          <w:b/>
        </w:rPr>
        <w:t xml:space="preserve">Emissions (Europe grid):</w:t>
      </w:r>
      <w:r>
        <w:t xml:space="preserve"> </w:t>
      </w:r>
      <w:r>
        <w:t xml:space="preserve">250 kWh/unit * 0.25 kg CO2e/kWh = 62.50 kg CO2e</w:t>
      </w:r>
    </w:p>
    <w:p>
      <w:pPr>
        <w:pStyle w:val="FirstParagraph"/>
      </w:pPr>
      <w:r>
        <w:rPr>
          <w:bCs/>
          <w:b/>
        </w:rPr>
        <w:t xml:space="preserve">Subtotal Use Phase Impact: 62.50 kg CO2e</w:t>
      </w:r>
    </w:p>
    <w:bookmarkEnd w:id="41"/>
    <w:bookmarkStart w:id="42" w:name="end-of-life-eol-scope-3---category-12"/>
    <w:p>
      <w:pPr>
        <w:pStyle w:val="Heading4"/>
      </w:pPr>
      <w:r>
        <w:t xml:space="preserve">End-of-Life (EoL) (Scope 3 - Category 12)</w:t>
      </w:r>
    </w:p>
    <w:p>
      <w:pPr>
        <w:numPr>
          <w:ilvl w:val="0"/>
          <w:numId w:val="1020"/>
        </w:numPr>
        <w:pStyle w:val="Compact"/>
      </w:pPr>
      <w:r>
        <w:rPr>
          <w:bCs/>
          <w:b/>
        </w:rPr>
        <w:t xml:space="preserve">Product Weight:</w:t>
      </w:r>
      <w:r>
        <w:t xml:space="preserve"> </w:t>
      </w:r>
      <w:r>
        <w:t xml:space="preserve">0.95 kg/unit</w:t>
      </w:r>
    </w:p>
    <w:p>
      <w:pPr>
        <w:numPr>
          <w:ilvl w:val="0"/>
          <w:numId w:val="1020"/>
        </w:numPr>
        <w:pStyle w:val="Compact"/>
      </w:pPr>
      <w:r>
        <w:rPr>
          <w:bCs/>
          <w:b/>
        </w:rPr>
        <w:t xml:space="preserve">Recyclability Percentage:</w:t>
      </w:r>
      <w:r>
        <w:t xml:space="preserve"> </w:t>
      </w:r>
      <w:r>
        <w:t xml:space="preserve">70%</w:t>
      </w:r>
    </w:p>
    <w:p>
      <w:pPr>
        <w:numPr>
          <w:ilvl w:val="0"/>
          <w:numId w:val="1020"/>
        </w:numPr>
        <w:pStyle w:val="Compact"/>
      </w:pPr>
      <w:r>
        <w:rPr>
          <w:bCs/>
          <w:b/>
        </w:rPr>
        <w:t xml:space="preserve">Amount Recycled:</w:t>
      </w:r>
      <w:r>
        <w:t xml:space="preserve"> </w:t>
      </w:r>
      <w:r>
        <w:t xml:space="preserve">0.95 kg * 0.70 = 0.665 kg</w:t>
      </w:r>
    </w:p>
    <w:p>
      <w:pPr>
        <w:numPr>
          <w:ilvl w:val="0"/>
          <w:numId w:val="1020"/>
        </w:numPr>
        <w:pStyle w:val="Compact"/>
      </w:pPr>
      <w:r>
        <w:rPr>
          <w:bCs/>
          <w:b/>
        </w:rPr>
        <w:t xml:space="preserve">Amount to Landfill:</w:t>
      </w:r>
      <w:r>
        <w:t xml:space="preserve"> </w:t>
      </w:r>
      <w:r>
        <w:t xml:space="preserve">0.95 kg * (1 - 0.70) = 0.285 kg</w:t>
      </w:r>
    </w:p>
    <w:p>
      <w:pPr>
        <w:numPr>
          <w:ilvl w:val="0"/>
          <w:numId w:val="1020"/>
        </w:numPr>
        <w:pStyle w:val="Compact"/>
      </w:pPr>
      <w:r>
        <w:rPr>
          <w:bCs/>
          <w:b/>
        </w:rPr>
        <w:t xml:space="preserve">Emissions from Landfill:</w:t>
      </w:r>
      <w:r>
        <w:t xml:space="preserve"> </w:t>
      </w:r>
      <w:r>
        <w:t xml:space="preserve">0.285 kg * 0.5 kg CO2e/kg = 0.14 kg CO2e</w:t>
      </w:r>
    </w:p>
    <w:p>
      <w:pPr>
        <w:numPr>
          <w:ilvl w:val="0"/>
          <w:numId w:val="1020"/>
        </w:numPr>
        <w:pStyle w:val="Compact"/>
      </w:pPr>
      <w:r>
        <w:rPr>
          <w:bCs/>
          <w:b/>
        </w:rPr>
        <w:t xml:space="preserve">Recycling Credit (Circular Programs):</w:t>
      </w:r>
      <w:r>
        <w:t xml:space="preserve"> </w:t>
      </w:r>
      <w:r>
        <w:t xml:space="preserve">0.665 kg * (-1.5 kg CO2e/kg) = -1.00 kg CO2e</w:t>
      </w:r>
    </w:p>
    <w:p>
      <w:pPr>
        <w:pStyle w:val="FirstParagraph"/>
      </w:pPr>
      <w:r>
        <w:rPr>
          <w:bCs/>
          <w:b/>
        </w:rPr>
        <w:t xml:space="preserve">Subtotal End-of-Life Impact: -0.86 kg CO2e</w:t>
      </w:r>
      <w:r>
        <w:t xml:space="preserve"> </w:t>
      </w:r>
      <w:r>
        <w:t xml:space="preserve">(Net credit due to circular programs)</w:t>
      </w:r>
    </w:p>
    <w:bookmarkEnd w:id="42"/>
    <w:bookmarkEnd w:id="43"/>
    <w:bookmarkStart w:id="44"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5.45</w:t>
            </w:r>
          </w:p>
        </w:tc>
      </w:tr>
      <w:tr>
        <w:tc>
          <w:tcPr/>
          <w:p>
            <w:pPr>
              <w:pStyle w:val="Compact"/>
              <w:jc w:val="left"/>
            </w:pPr>
            <w:r>
              <w:t xml:space="preserve">Manufacturing</w:t>
            </w:r>
          </w:p>
        </w:tc>
        <w:tc>
          <w:tcPr/>
          <w:p>
            <w:pPr>
              <w:pStyle w:val="Compact"/>
              <w:jc w:val="left"/>
            </w:pPr>
            <w:r>
              <w:t xml:space="preserve">Scope 2 (Electricity)</w:t>
            </w:r>
          </w:p>
        </w:tc>
        <w:tc>
          <w:tcPr/>
          <w:p>
            <w:pPr>
              <w:pStyle w:val="Compact"/>
              <w:jc w:val="left"/>
            </w:pPr>
            <w:r>
              <w:t xml:space="preserve">3.00</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0.28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-0.86</w:t>
            </w:r>
          </w:p>
        </w:tc>
      </w:tr>
      <w:tr>
        <w:tc>
          <w:tcPr>
            <w:gridSpan w:val="2"/>
          </w:tcPr>
          <w:p>
            <w:pPr>
              <w:pStyle w:val="Compact"/>
              <w:jc w:val="left"/>
            </w:pPr>
            <w:r>
              <w:rPr>
                <w:bCs/>
                <w:b/>
              </w:rPr>
              <w:t xml:space="preserve">Grand Total PCF</w:t>
            </w:r>
          </w:p>
        </w:tc>
        <w:tc>
          <w:tcPr/>
          <w:p>
            <w:pPr>
              <w:pStyle w:val="Compact"/>
              <w:jc w:val="left"/>
            </w:pPr>
            <w:r>
              <w:rPr>
                <w:bCs/>
                <w:b/>
              </w:rPr>
              <w:t xml:space="preserve">70.37</w:t>
            </w:r>
          </w:p>
        </w:tc>
      </w:tr>
    </w:tbl>
    <w:bookmarkEnd w:id="44"/>
    <w:bookmarkStart w:id="45" w:name="summary-by-ghg-protocol-scope"/>
    <w:p>
      <w:pPr>
        <w:pStyle w:val="Heading3"/>
      </w:pPr>
      <w:r>
        <w:t xml:space="preserve">Summary by GHG Protocol Scope</w:t>
      </w:r>
    </w:p>
    <w:p>
      <w:pPr>
        <w:numPr>
          <w:ilvl w:val="0"/>
          <w:numId w:val="1021"/>
        </w:numPr>
        <w:pStyle w:val="Compact"/>
      </w:pPr>
      <w:r>
        <w:rPr>
          <w:bCs/>
          <w:b/>
        </w:rPr>
        <w:t xml:space="preserve">Scope 1 (Direct Emissions):</w:t>
      </w:r>
      <w:r>
        <w:t xml:space="preserve"> </w:t>
      </w:r>
      <w:r>
        <w:t xml:space="preserve">0.00 kg CO2e</w:t>
      </w:r>
    </w:p>
    <w:p>
      <w:pPr>
        <w:numPr>
          <w:ilvl w:val="0"/>
          <w:numId w:val="1021"/>
        </w:numPr>
        <w:pStyle w:val="Compact"/>
      </w:pPr>
      <w:r>
        <w:rPr>
          <w:bCs/>
          <w:b/>
        </w:rPr>
        <w:t xml:space="preserve">Scope 2 (Purchased Energy Emissions):</w:t>
      </w:r>
      <w:r>
        <w:t xml:space="preserve"> </w:t>
      </w:r>
      <w:r>
        <w:t xml:space="preserve">3.00 kg CO2e</w:t>
      </w:r>
    </w:p>
    <w:p>
      <w:pPr>
        <w:numPr>
          <w:ilvl w:val="0"/>
          <w:numId w:val="1021"/>
        </w:numPr>
        <w:pStyle w:val="Compact"/>
      </w:pPr>
      <w:r>
        <w:rPr>
          <w:bCs/>
          <w:b/>
        </w:rPr>
        <w:t xml:space="preserve">Scope 3 (Value Chain Emissions):</w:t>
      </w:r>
      <w:r>
        <w:t xml:space="preserve"> </w:t>
      </w:r>
      <w:r>
        <w:t xml:space="preserve">67.37 kg CO2e</w:t>
      </w:r>
    </w:p>
    <w:p>
      <w:pPr>
        <w:numPr>
          <w:ilvl w:val="0"/>
          <w:numId w:val="1021"/>
        </w:numPr>
        <w:pStyle w:val="Compact"/>
      </w:pPr>
      <w:r>
        <w:rPr>
          <w:bCs/>
          <w:b/>
        </w:rPr>
        <w:t xml:space="preserve">Total PCF:</w:t>
      </w:r>
      <w:r>
        <w:t xml:space="preserve"> </w:t>
      </w:r>
      <w:r>
        <w:t xml:space="preserve">70.37 kg CO2e</w:t>
      </w:r>
    </w:p>
    <w:p>
      <w:pPr>
        <w:pStyle w:val="FirstParagraph"/>
      </w:pPr>
      <w:r>
        <w:rPr>
          <w:bCs/>
          <w:b/>
        </w:rPr>
        <w:t xml:space="preserve">Scope 3 Compliance:</w:t>
      </w:r>
      <w:r>
        <w:t xml:space="preserve"> </w:t>
      </w:r>
      <w:r>
        <w:t xml:space="preserve">The analysis covers all major upstream and downstream categories, including materials, transport, use phase, and end-of-life, achieving comprehensive Scope 3 reporting in line with 2026 requirements aiming for at least 95% coverage.</w:t>
      </w:r>
    </w:p>
    <w:p>
      <w:pPr>
        <w:pStyle w:val="BodyText"/>
      </w:pPr>
      <w:r>
        <w:rPr>
          <w:bCs/>
          <w:b/>
        </w:rPr>
        <w:t xml:space="preserve">2026 LSR Update:</w:t>
      </w:r>
      <w:r>
        <w:t xml:space="preserve"> </w:t>
      </w:r>
      <w:r>
        <w:t xml:space="preserve">The Land Sector and Removals (LSR) Standard is acknowledged. While no direct land-use change emissions or removals were quantifiable with the provided data, the framework for future inclusion of such data (e.g., from bio-based materials with land footprint, or carbon sequestration projects) is understood.</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analysis"/>
    <w:p>
      <w:pPr>
        <w:pStyle w:val="Heading3"/>
      </w:pPr>
      <w:r>
        <w:t xml:space="preserve">Hotspots Analysis</w:t>
      </w:r>
    </w:p>
    <w:p>
      <w:pPr>
        <w:pStyle w:val="FirstParagraph"/>
      </w:pPr>
      <w:r>
        <w:t xml:space="preserve">The primary hotspots for the product "ikdngqvzly" are identified as:</w:t>
      </w:r>
    </w:p>
    <w:p>
      <w:pPr>
        <w:numPr>
          <w:ilvl w:val="0"/>
          <w:numId w:val="1022"/>
        </w:numPr>
        <w:pStyle w:val="Compact"/>
      </w:pPr>
      <w:r>
        <w:rPr>
          <w:bCs/>
          <w:b/>
        </w:rPr>
        <w:t xml:space="preserve">Use Phase (62.50 kg CO2e):</w:t>
      </w:r>
      <w:r>
        <w:t xml:space="preserve"> </w:t>
      </w:r>
      <w:r>
        <w:t xml:space="preserve">This stage represents the largest contributor to the overall carbon footprint, primarily due to the energy consumption of the product over its 5-year lifespan. This highlights a critical area for product design optimization focused on energy efficiency.</w:t>
      </w:r>
    </w:p>
    <w:p>
      <w:pPr>
        <w:numPr>
          <w:ilvl w:val="0"/>
          <w:numId w:val="1022"/>
        </w:numPr>
        <w:pStyle w:val="Compact"/>
      </w:pPr>
      <w:r>
        <w:rPr>
          <w:bCs/>
          <w:b/>
        </w:rPr>
        <w:t xml:space="preserve">Materials Acquisition &amp; Pre-processing (5.45 kg CO2e):</w:t>
      </w:r>
      <w:r>
        <w:t xml:space="preserve"> </w:t>
      </w:r>
      <w:r>
        <w:t xml:space="preserve">The impact from raw material extraction and component manufacturing is the second most significant hotspot. Efforts to source lower-carbon materials, increase recycled content, and optimize material efficiency would be beneficial.</w:t>
      </w:r>
    </w:p>
    <w:p>
      <w:pPr>
        <w:numPr>
          <w:ilvl w:val="0"/>
          <w:numId w:val="1022"/>
        </w:numPr>
        <w:pStyle w:val="Compact"/>
      </w:pPr>
      <w:r>
        <w:rPr>
          <w:bCs/>
          <w:b/>
        </w:rPr>
        <w:t xml:space="preserve">Manufacturing (3.00 kg CO2e):</w:t>
      </w:r>
      <w:r>
        <w:t xml:space="preserve"> </w:t>
      </w:r>
      <w:r>
        <w:t xml:space="preserve">While significant, the impact from manufacturing electricity is mitigated by the assumed 50% renewable energy usage. Further increasing renewable energy adoption in production facilities would reduce this impact.</w:t>
      </w:r>
    </w:p>
    <w:bookmarkEnd w:id="47"/>
    <w:bookmarkStart w:id="48" w:name="reliability"/>
    <w:p>
      <w:pPr>
        <w:pStyle w:val="Heading3"/>
      </w:pPr>
      <w:r>
        <w:t xml:space="preserve">Reliability</w:t>
      </w:r>
    </w:p>
    <w:p>
      <w:pPr>
        <w:pStyle w:val="FirstParagraph"/>
      </w:pPr>
      <w:r>
        <w:t xml:space="preserve">The reliability of this PCF analysis is based on:</w:t>
      </w:r>
    </w:p>
    <w:p>
      <w:pPr>
        <w:numPr>
          <w:ilvl w:val="0"/>
          <w:numId w:val="1023"/>
        </w:numPr>
        <w:pStyle w:val="Compact"/>
      </w:pPr>
      <w:r>
        <w:rPr>
          <w:bCs/>
          <w:b/>
        </w:rPr>
        <w:t xml:space="preserve">Primary Data:</w:t>
      </w:r>
      <w:r>
        <w:t xml:space="preserve"> </w:t>
      </w:r>
      <w:r>
        <w:t xml:space="preserve">Direct use of provided parameters for BOM \'Total Carbon\', energy intensity, lifespan, and recyclability.</w:t>
      </w:r>
    </w:p>
    <w:p>
      <w:pPr>
        <w:numPr>
          <w:ilvl w:val="0"/>
          <w:numId w:val="1023"/>
        </w:numPr>
        <w:pStyle w:val="Compact"/>
      </w:pPr>
      <w:r>
        <w:rPr>
          <w:bCs/>
          <w:b/>
        </w:rPr>
        <w:t xml:space="preserve">Secondary Data:</w:t>
      </w:r>
      <w:r>
        <w:t xml:space="preserve"> </w:t>
      </w:r>
      <w:r>
        <w:t xml:space="preserve">Utilization of illustrative industry-average emission factors for transport, energy, and end-of-life scenarios. These factors provide a reasonable estimate but may not capture the nuances of specific suppliers or technologies.</w:t>
      </w:r>
    </w:p>
    <w:p>
      <w:pPr>
        <w:numPr>
          <w:ilvl w:val="0"/>
          <w:numId w:val="1023"/>
        </w:numPr>
        <w:pStyle w:val="Compact"/>
      </w:pPr>
      <w:r>
        <w:rPr>
          <w:bCs/>
          <w:b/>
        </w:rPr>
        <w:t xml:space="preserve">Assumptions:</w:t>
      </w:r>
      <w:r>
        <w:t xml:space="preserve"> </w:t>
      </w:r>
      <w:r>
        <w:t xml:space="preserve">The analysis relies on explicit assumptions for placeholder values (e.g., specific transport modes/distances, energy mix percentages). Any deviations from these assumptions in real-world operations would affect the results.</w:t>
      </w:r>
    </w:p>
    <w:p>
      <w:pPr>
        <w:pStyle w:val="FirstParagraph"/>
      </w:pPr>
      <w:r>
        <w:t xml:space="preserve">For enhanced accuracy, further primary data collection from specific suppliers for transport distances, actual energy mixes at manufacturing sites, and detailed end-of-life processing data is recommended.</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ikdngqvzly</dc:title>
  <dc:creator/>
  <dc:description>Detailed Product Carbon Footprint (PCF) analysis report for ikdngqvzly by unwldjkuyy, adhering to GHG Protocol and 2026 LSR Update requirements.</dc:description>
  <dc:language>en</dc:language>
  <cp:keywords/>
  <dcterms:created xsi:type="dcterms:W3CDTF">2026-07-15T07:04:35Z</dcterms:created>
  <dcterms:modified xsi:type="dcterms:W3CDTF">2026-07-15T07:04:35Z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