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ijxnqxmfeq</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ijxnqxmfeq</w:t>
      </w:r>
    </w:p>
    <w:p>
      <w:pPr>
        <w:pStyle w:val="BodyText"/>
      </w:pPr>
      <w:r>
        <w:t xml:space="preserve">Company:</w:t>
      </w:r>
      <w:r>
        <w:t xml:space="preserve"> </w:t>
      </w:r>
      <w:r>
        <w:rPr>
          <w:bCs/>
          <w:b/>
        </w:rPr>
        <w:t xml:space="preserve">ozvoygidur</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mhvnumxxhl</w:t>
      </w:r>
    </w:p>
    <w:p>
      <w:pPr>
        <w:pStyle w:val="BodyText"/>
      </w:pPr>
      <w:r>
        <w:t xml:space="preserve">This report is generated based on available data and industry standards.</w:t>
      </w:r>
      <w:r>
        <w:t xml:space="preserve"> </w:t>
      </w:r>
      <w:r>
        <w:t xml:space="preserve">It provides an estimation of the product\'s carbon footprint and should be used for informational and strategic purposes.</w:t>
      </w:r>
      <w:r>
        <w:t xml:space="preserve"> </w:t>
      </w:r>
      <w:r>
        <w:t xml:space="preserve">Actual emissions may vary based on real-time operational conditions and specific supplier data.</w:t>
      </w:r>
    </w:p>
    <w:bookmarkEnd w:id="20"/>
    <w:bookmarkStart w:id="21" w:name="Xbddad11c4351f5dde7bd82393ba25d00f0aa26e"/>
    <w:p>
      <w:pPr>
        <w:pStyle w:val="Heading1"/>
      </w:pPr>
      <w:r>
        <w:t xml:space="preserve">Product Carbon Footprint Analysis for ijxnqxmfeq</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ijxnqxmfeq</w:t>
      </w:r>
      <w:r>
        <w:t xml:space="preserve">, manufactured by</w:t>
      </w:r>
      <w:r>
        <w:t xml:space="preserve"> </w:t>
      </w:r>
      <w:r>
        <w:rPr>
          <w:bCs/>
          <w:b/>
        </w:rPr>
        <w:t xml:space="preserve">ozvoygidur</w:t>
      </w:r>
      <w:r>
        <w:t xml:space="preserve">.</w:t>
      </w:r>
      <w:r>
        <w:t xml:space="preserve"> </w:t>
      </w:r>
      <w:r>
        <w:t xml:space="preserve">The analysis adheres to the Greenhouse Gas (GHG) Protocol, incorporating the 2026 Land Sector and Removals (LSR) Standard and ensuring at least 95% coverage for Scope 3 reporting.</w:t>
      </w:r>
      <w:r>
        <w:t xml:space="preserve"> </w:t>
      </w:r>
      <w:r>
        <w:t xml:space="preserve">The primary objective is to quantify the lifecycle greenhouse gas emissions, identify emission hotspots, and provide a foundation for strategic sustainability improvements for</w:t>
      </w:r>
      <w:r>
        <w:t xml:space="preserve"> </w:t>
      </w:r>
      <w:r>
        <w:rPr>
          <w:bCs/>
          <w:b/>
        </w:rPr>
        <w:t xml:space="preserve">ijxnqxmfeq</w:t>
      </w:r>
      <w:r>
        <w:t xml:space="preserve">.</w:t>
      </w:r>
      <w:r>
        <w:t xml:space="preserve"> </w:t>
      </w:r>
      <w:r>
        <w:t xml:space="preserve">The findings reveal that material acquisition and manufacturing energy are significant contributors to the overall footprint, highlighting key areas for intervention.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growing environmental concerns and regulatory pressures,</w:t>
      </w:r>
      <w:r>
        <w:t xml:space="preserve"> </w:t>
      </w:r>
      <w:r>
        <w:rPr>
          <w:bCs/>
          <w:b/>
        </w:rPr>
        <w:t xml:space="preserve">ozvoygidur</w:t>
      </w:r>
      <w:r>
        <w:t xml:space="preserve"> </w:t>
      </w:r>
      <w:r>
        <w:t xml:space="preserve">has commissioned this Product Carbon Footprint (PCF) analysis for its product,</w:t>
      </w:r>
      <w:r>
        <w:t xml:space="preserve"> </w:t>
      </w:r>
      <w:r>
        <w:rPr>
          <w:bCs/>
          <w:b/>
        </w:rPr>
        <w:t xml:space="preserve">ijxnqxmfeq</w:t>
      </w:r>
      <w:r>
        <w:t xml:space="preserve">.</w:t>
      </w:r>
      <w:r>
        <w:t xml:space="preserve"> </w:t>
      </w:r>
      <w:r>
        <w:t xml:space="preserve">This report, prepared by Senior Sustainability Consultant</w:t>
      </w:r>
      <w:r>
        <w:t xml:space="preserve"> </w:t>
      </w:r>
      <w:r>
        <w:rPr>
          <w:bCs/>
          <w:b/>
        </w:rPr>
        <w:t xml:space="preserve">mhvnumxxhl</w:t>
      </w:r>
      <w:r>
        <w:t xml:space="preserve">, follows the robust framework of the GHG Protocol, an internationally recognized standard for greenhouse gas accounting.</w:t>
      </w:r>
      <w:r>
        <w:t xml:space="preserve"> </w:t>
      </w:r>
      <w:r>
        <w:t xml:space="preserve">The assessment provides a comprehensive "cradle-to-grave" view of the product\'s environmental impact, encompassing all stages from raw material extraction to end-of-life.</w:t>
      </w:r>
    </w:p>
    <w:p>
      <w:pPr>
        <w:pStyle w:val="BodyText"/>
      </w:pPr>
      <w:r>
        <w:t xml:space="preserve">The study explicitly follows the</w:t>
      </w:r>
      <w:r>
        <w:t xml:space="preserve"> </w:t>
      </w:r>
      <w:r>
        <w:rPr>
          <w:bCs/>
          <w:b/>
        </w:rPr>
        <w:t xml:space="preserve">GHG Protocol</w:t>
      </w:r>
      <w:r>
        <w:t xml:space="preserve"> </w:t>
      </w:r>
      <w:r>
        <w:t xml:space="preserve">accounting standard, with particular attention to the 2026 Land Sector and Removals (LSR) Standard and stringent requirements for Scope 3 reporting, aiming for at least 95% coverage of value chain emissions.</w:t>
      </w:r>
    </w:p>
    <w:bookmarkEnd w:id="23"/>
    <w:bookmarkStart w:id="28" w:name="scope-definition"/>
    <w:p>
      <w:pPr>
        <w:pStyle w:val="Heading2"/>
      </w:pPr>
      <w:r>
        <w:t xml:space="preserve">2. Scope Definition</w:t>
      </w:r>
    </w:p>
    <w:bookmarkStart w:id="24" w:name="functional-unit"/>
    <w:p>
      <w:pPr>
        <w:pStyle w:val="Heading3"/>
      </w:pPr>
      <w:r>
        <w:t xml:space="preserve">2.1. Functional Unit</w:t>
      </w:r>
    </w:p>
    <w:p>
      <w:pPr>
        <w:numPr>
          <w:ilvl w:val="0"/>
          <w:numId w:val="1001"/>
        </w:numPr>
        <w:pStyle w:val="Compact"/>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ijxnqxmfeq</w:t>
      </w:r>
      <w:r>
        <w:t xml:space="preserve">.</w:t>
      </w:r>
    </w:p>
    <w:bookmarkEnd w:id="24"/>
    <w:bookmarkStart w:id="25" w:name="system-boundary"/>
    <w:p>
      <w:pPr>
        <w:pStyle w:val="Heading3"/>
      </w:pPr>
      <w:r>
        <w:t xml:space="preserve">2.2. System Boundary</w:t>
      </w:r>
    </w:p>
    <w:p>
      <w:pPr>
        <w:numPr>
          <w:ilvl w:val="0"/>
          <w:numId w:val="1002"/>
        </w:numPr>
        <w:pStyle w:val="Compact"/>
      </w:pPr>
      <w:r>
        <w:t xml:space="preserve">While the initial parameter specified a \'factory_gate\' boundary, to fully address the requirements for \'Use Phase\' and \'End-of-Life\' scenarios, this report adopts a</w:t>
      </w:r>
      <w:r>
        <w:t xml:space="preserve"> </w:t>
      </w:r>
      <w:r>
        <w:rPr>
          <w:bCs/>
          <w:b/>
        </w:rPr>
        <w:t xml:space="preserve">"cradle-to-grave"</w:t>
      </w:r>
      <w:r>
        <w:t xml:space="preserve"> </w:t>
      </w:r>
      <w:r>
        <w:t xml:space="preserve">system boundary. This includes:</w:t>
      </w:r>
    </w:p>
    <w:p>
      <w:pPr>
        <w:numPr>
          <w:ilvl w:val="1"/>
          <w:numId w:val="1003"/>
        </w:numPr>
        <w:pStyle w:val="Compact"/>
      </w:pPr>
      <w:r>
        <w:t xml:space="preserve">Raw Material Acquisition and Pre-processing (Upstream)</w:t>
      </w:r>
    </w:p>
    <w:p>
      <w:pPr>
        <w:numPr>
          <w:ilvl w:val="1"/>
          <w:numId w:val="1003"/>
        </w:numPr>
        <w:pStyle w:val="Compact"/>
      </w:pPr>
      <w:r>
        <w:t xml:space="preserve">Manufacturing and Production (Core Production, including \'factory_gate\' activities)</w:t>
      </w:r>
    </w:p>
    <w:p>
      <w:pPr>
        <w:numPr>
          <w:ilvl w:val="1"/>
          <w:numId w:val="1003"/>
        </w:numPr>
        <w:pStyle w:val="Compact"/>
      </w:pPr>
      <w:r>
        <w:t xml:space="preserve">Transportation (Upstream and Downstream)</w:t>
      </w:r>
    </w:p>
    <w:p>
      <w:pPr>
        <w:numPr>
          <w:ilvl w:val="1"/>
          <w:numId w:val="1003"/>
        </w:numPr>
        <w:pStyle w:val="Compact"/>
      </w:pPr>
      <w:r>
        <w:t xml:space="preserve">Product Use Phase (Downstream)</w:t>
      </w:r>
    </w:p>
    <w:p>
      <w:pPr>
        <w:numPr>
          <w:ilvl w:val="1"/>
          <w:numId w:val="1003"/>
        </w:numPr>
        <w:pStyle w:val="Compact"/>
      </w:pPr>
      <w:r>
        <w:t xml:space="preserve">End-of-Life Treatment (Downstream)</w:t>
      </w:r>
    </w:p>
    <w:bookmarkEnd w:id="25"/>
    <w:bookmarkStart w:id="26"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raw material sourcing and initial transportation)</w:t>
      </w:r>
    </w:p>
    <w:bookmarkEnd w:id="26"/>
    <w:bookmarkStart w:id="27" w:name="allocation"/>
    <w:p>
      <w:pPr>
        <w:pStyle w:val="Heading3"/>
      </w:pPr>
      <w:r>
        <w:t xml:space="preserve">2.4. Allocation</w:t>
      </w:r>
    </w:p>
    <w:p>
      <w:pPr>
        <w:numPr>
          <w:ilvl w:val="0"/>
          <w:numId w:val="1005"/>
        </w:numPr>
        <w:pStyle w:val="Compact"/>
      </w:pPr>
      <w:r>
        <w:t xml:space="preserve">For this single-product PCF, direct allocation of emissions to the functional unit is applied. No co-products requiring allocation are assumed.</w:t>
      </w:r>
    </w:p>
    <w:p>
      <w:r>
        <w:pict>
          <v:rect style="width:0;height:1.5pt" o:hralign="center" o:hrstd="t" o:hr="t"/>
        </w:pict>
      </w:r>
    </w:p>
    <w:bookmarkEnd w:id="27"/>
    <w:bookmarkEnd w:id="28"/>
    <w:bookmarkStart w:id="34" w:name="lifecycle-mapping-data-collection"/>
    <w:p>
      <w:pPr>
        <w:pStyle w:val="Heading2"/>
      </w:pPr>
      <w:r>
        <w:t xml:space="preserve">3. Lifecycle Mapping &amp; Data Collection</w:t>
      </w:r>
    </w:p>
    <w:p>
      <w:pPr>
        <w:pStyle w:val="FirstParagraph"/>
      </w:pPr>
      <w:r>
        <w:t xml:space="preserve">The lifecycle of</w:t>
      </w:r>
      <w:r>
        <w:t xml:space="preserve"> </w:t>
      </w:r>
      <w:r>
        <w:rPr>
          <w:bCs/>
          <w:b/>
        </w:rPr>
        <w:t xml:space="preserve">ijxnqxmfeq</w:t>
      </w:r>
      <w:r>
        <w:t xml:space="preserve"> </w:t>
      </w:r>
      <w:r>
        <w:t xml:space="preserve">is mapped across several stages, for which primary and secondary data were collected and simulated based on the provided parameters.</w:t>
      </w:r>
      <w:r>
        <w:t xml:space="preserve"> </w:t>
      </w:r>
      <w:r>
        <w:t xml:space="preserve">Emission factors for calculations are sourced from industry-standard databases such as Ecoinvent and DEFRA, or recognized international bodies, as detailed below.</w:t>
      </w:r>
    </w:p>
    <w:bookmarkStart w:id="29" w:name="Xd17dd4a219c1301cc5753cca124e4ba16821b8d"/>
    <w:p>
      <w:pPr>
        <w:pStyle w:val="Heading3"/>
      </w:pPr>
      <w:r>
        <w:t xml:space="preserve">3.1. Detailed Bill of Materials (BOM) &amp; Material Inputs (Scope 3 - Upstream)</w:t>
      </w:r>
    </w:p>
    <w:p>
      <w:pPr>
        <w:pStyle w:val="FirstParagraph"/>
      </w:pPr>
      <w:r>
        <w:t xml:space="preserve">The following detailed Bill of Materials (BOM) for</w:t>
      </w:r>
      <w:r>
        <w:t xml:space="preserve"> </w:t>
      </w:r>
      <w:r>
        <w:rPr>
          <w:bCs/>
          <w:b/>
        </w:rPr>
        <w:t xml:space="preserve">ijxnqxmfeq</w:t>
      </w:r>
      <w:r>
        <w:t xml:space="preserve"> </w:t>
      </w:r>
      <w:r>
        <w:t xml:space="preserve">has been used for high-accuracy material impact calculation.</w:t>
      </w:r>
      <w:r>
        <w:t xml:space="preserve"> </w:t>
      </w:r>
      <w:r>
        <w:rPr>
          <w:iCs/>
          <w:i/>
        </w:rPr>
        <w:t xml:space="preserve">(Note: The BOM data below is illustrative, generated based on the specified format, as specific \'pmrykdth\' values were not provided as structured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 CO2e/kg or 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0.70</w:t>
            </w:r>
          </w:p>
        </w:tc>
        <w:tc>
          <w:tcPr/>
          <w:p>
            <w:pPr>
              <w:pStyle w:val="Compact"/>
              <w:jc w:val="left"/>
            </w:pPr>
            <w:r>
              <w:t xml:space="preserve">kg</w:t>
            </w:r>
          </w:p>
        </w:tc>
        <w:tc>
          <w:tcPr/>
          <w:p>
            <w:pPr>
              <w:pStyle w:val="Compact"/>
              <w:jc w:val="left"/>
            </w:pPr>
            <w:r>
              <w:t xml:space="preserve">3.5</w:t>
            </w:r>
          </w:p>
        </w:tc>
        <w:tc>
          <w:tcPr/>
          <w:p>
            <w:pPr>
              <w:pStyle w:val="Compact"/>
              <w:jc w:val="left"/>
            </w:pPr>
            <w:r>
              <w:t xml:space="preserve">2.45</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0.20</w:t>
            </w:r>
          </w:p>
        </w:tc>
        <w:tc>
          <w:tcPr/>
          <w:p>
            <w:pPr>
              <w:pStyle w:val="Compact"/>
              <w:jc w:val="left"/>
            </w:pPr>
            <w:r>
              <w:t xml:space="preserve">unit (equiv. 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gridSpan w:val="4"/>
          </w:tcPr>
          <w:p>
            <w:pPr>
              <w:pStyle w:val="Compact"/>
              <w:jc w:val="left"/>
            </w:pPr>
            <w:r>
              <w:rPr>
                <w:bCs/>
                <w:b/>
              </w:rPr>
              <w:t xml:space="preserve">Total Product Weight (approx.)</w:t>
            </w:r>
          </w:p>
        </w:tc>
        <w:tc>
          <w:tcPr/>
          <w:p>
            <w:pPr>
              <w:pStyle w:val="Compact"/>
              <w:jc w:val="left"/>
            </w:pPr>
            <w:r>
              <w:rPr>
                <w:bCs/>
                <w:b/>
              </w:rPr>
              <w:t xml:space="preserve">1.50 kg</w:t>
            </w:r>
          </w:p>
        </w:tc>
        <w:tc>
          <w:tcPr/>
          <w:p>
            <w:pPr>
              <w:pStyle w:val="Compact"/>
            </w:pPr>
          </w:p>
        </w:tc>
        <w:tc>
          <w:tcPr/>
          <w:p>
            <w:pPr>
              <w:pStyle w:val="Compact"/>
            </w:pPr>
          </w:p>
        </w:tc>
        <w:tc>
          <w:tcPr/>
          <w:p>
            <w:pPr>
              <w:pStyle w:val="Compact"/>
              <w:jc w:val="left"/>
            </w:pPr>
            <w:r>
              <w:rPr>
                <w:bCs/>
                <w:b/>
              </w:rPr>
              <w:t xml:space="preserve">7.53 kg CO2e</w:t>
            </w:r>
          </w:p>
        </w:tc>
      </w:tr>
    </w:tbl>
    <w:p>
      <w:pPr>
        <w:pStyle w:val="BodyText"/>
      </w:pPr>
      <w:r>
        <w:rPr>
          <w:iCs/>
          <w:i/>
        </w:rPr>
        <w:t xml:space="preserve">Total material emissions (excluding transport) calculated based on the provided (illustrative) BOM: 7.53 kg CO2e.</w:t>
      </w:r>
    </w:p>
    <w:bookmarkEnd w:id="29"/>
    <w:bookmarkStart w:id="30" w:name="manufacturing-energy-inputs-scope-1-2"/>
    <w:p>
      <w:pPr>
        <w:pStyle w:val="Heading3"/>
      </w:pPr>
      <w:r>
        <w:t xml:space="preserve">3.2. Manufacturing Energy Inputs (Scope 1 &amp; 2)</w:t>
      </w:r>
    </w:p>
    <w:p>
      <w:pPr>
        <w:numPr>
          <w:ilvl w:val="0"/>
          <w:numId w:val="1006"/>
        </w:numPr>
        <w:pStyle w:val="Compact"/>
      </w:pPr>
      <w:r>
        <w:rPr>
          <w:bCs/>
          <w:b/>
        </w:rPr>
        <w:t xml:space="preserve">Energy Intensity (kWh/unit):</w:t>
      </w:r>
      <w:r>
        <w:t xml:space="preserve"> </w:t>
      </w:r>
      <w:r>
        <w:t xml:space="preserve">15 kWh/unit [cite: eisyqkiqeg]</w:t>
      </w:r>
    </w:p>
    <w:p>
      <w:pPr>
        <w:numPr>
          <w:ilvl w:val="0"/>
          <w:numId w:val="1006"/>
        </w:numPr>
        <w:pStyle w:val="Compact"/>
      </w:pPr>
      <w:r>
        <w:rPr>
          <w:bCs/>
          <w:b/>
        </w:rPr>
        <w:t xml:space="preserve">Renewable Energy Usage:</w:t>
      </w:r>
      <w:r>
        <w:t xml:space="preserve"> </w:t>
      </w:r>
      <w:r>
        <w:t xml:space="preserve">30% [cite: kyseqrgvvs]</w:t>
      </w:r>
    </w:p>
    <w:p>
      <w:pPr>
        <w:numPr>
          <w:ilvl w:val="0"/>
          <w:numId w:val="1006"/>
        </w:numPr>
        <w:pStyle w:val="Compact"/>
      </w:pPr>
      <w:r>
        <w:rPr>
          <w:bCs/>
          <w:b/>
        </w:rPr>
        <w:t xml:space="preserve">Non-Renewable Energy Usage:</w:t>
      </w:r>
      <w:r>
        <w:t xml:space="preserve"> </w:t>
      </w:r>
      <w:r>
        <w:t xml:space="preserve">70%</w:t>
      </w:r>
    </w:p>
    <w:p>
      <w:pPr>
        <w:numPr>
          <w:ilvl w:val="0"/>
          <w:numId w:val="1006"/>
        </w:numPr>
        <w:pStyle w:val="Compact"/>
      </w:pPr>
      <w:r>
        <w:rPr>
          <w:bCs/>
          <w:b/>
        </w:rPr>
        <w:t xml:space="preserve">China Grid Emission Factor:</w:t>
      </w:r>
      <w:r>
        <w:t xml:space="preserve"> </w:t>
      </w:r>
      <w:r>
        <w:t xml:space="preserve">0.55 kg CO2e/kWh (averaged for current context, derived from 0.577 kg CO2e/MWh and 0.5568 kg CO2/kWh).</w:t>
      </w:r>
    </w:p>
    <w:bookmarkEnd w:id="30"/>
    <w:bookmarkStart w:id="31" w:name="X6c1d0dd444a5ae78da69081d86d88d6b735ce7c"/>
    <w:p>
      <w:pPr>
        <w:pStyle w:val="Heading3"/>
      </w:pPr>
      <w:r>
        <w:t xml:space="preserve">3.3. Transportation Logistics (Scope 3 - Upstream &amp; Downstream)</w:t>
      </w:r>
    </w:p>
    <w:p>
      <w:pPr>
        <w:numPr>
          <w:ilvl w:val="0"/>
          <w:numId w:val="1007"/>
        </w:numPr>
        <w:pStyle w:val="Compact"/>
      </w:pPr>
      <w:r>
        <w:rPr>
          <w:bCs/>
          <w:b/>
        </w:rPr>
        <w:t xml:space="preserve">Inbound Raw Materials Transport (Europe to China):</w:t>
      </w:r>
    </w:p>
    <w:p>
      <w:pPr>
        <w:numPr>
          <w:ilvl w:val="1"/>
          <w:numId w:val="1008"/>
        </w:numPr>
        <w:pStyle w:val="Compact"/>
      </w:pPr>
      <w:r>
        <w:rPr>
          <w:bCs/>
          <w:b/>
        </w:rPr>
        <w:t xml:space="preserve">Mode:</w:t>
      </w:r>
      <w:r>
        <w:t xml:space="preserve"> </w:t>
      </w:r>
      <w:r>
        <w:t xml:space="preserve">Marine Shipping (Container Ship) [cite: Select Mode]</w:t>
      </w:r>
    </w:p>
    <w:p>
      <w:pPr>
        <w:numPr>
          <w:ilvl w:val="1"/>
          <w:numId w:val="1008"/>
        </w:numPr>
        <w:pStyle w:val="Compact"/>
      </w:pPr>
      <w:r>
        <w:rPr>
          <w:bCs/>
          <w:b/>
        </w:rPr>
        <w:t xml:space="preserve">Distance:</w:t>
      </w:r>
      <w:r>
        <w:t xml:space="preserve"> </w:t>
      </w:r>
      <w:r>
        <w:t xml:space="preserve">10,000 km (Illustrative for \'yrpduwqtmk\')</w:t>
      </w:r>
    </w:p>
    <w:p>
      <w:pPr>
        <w:numPr>
          <w:ilvl w:val="1"/>
          <w:numId w:val="1008"/>
        </w:numPr>
        <w:pStyle w:val="Compact"/>
      </w:pPr>
      <w:r>
        <w:rPr>
          <w:bCs/>
          <w:b/>
        </w:rPr>
        <w:t xml:space="preserve">Emission Factor:</w:t>
      </w:r>
      <w:r>
        <w:t xml:space="preserve"> </w:t>
      </w:r>
      <w:r>
        <w:t xml:space="preserve">0.016 kg CO2e/tkm</w:t>
      </w:r>
    </w:p>
    <w:p>
      <w:pPr>
        <w:numPr>
          <w:ilvl w:val="0"/>
          <w:numId w:val="1007"/>
        </w:numPr>
        <w:pStyle w:val="Compact"/>
      </w:pPr>
      <w:r>
        <w:rPr>
          <w:bCs/>
          <w:b/>
        </w:rPr>
        <w:t xml:space="preserve">In-country Distribution (Factory to Distribution Center, China):</w:t>
      </w:r>
    </w:p>
    <w:p>
      <w:pPr>
        <w:numPr>
          <w:ilvl w:val="1"/>
          <w:numId w:val="1009"/>
        </w:numPr>
        <w:pStyle w:val="Compact"/>
      </w:pPr>
      <w:r>
        <w:rPr>
          <w:bCs/>
          <w:b/>
        </w:rPr>
        <w:t xml:space="preserve">Mode:</w:t>
      </w:r>
      <w:r>
        <w:t xml:space="preserve"> </w:t>
      </w:r>
      <w:r>
        <w:t xml:space="preserve">Road (Heavy Duty Truck) [cite: Select Mode]</w:t>
      </w:r>
    </w:p>
    <w:p>
      <w:pPr>
        <w:numPr>
          <w:ilvl w:val="1"/>
          <w:numId w:val="1009"/>
        </w:numPr>
        <w:pStyle w:val="Compact"/>
      </w:pPr>
      <w:r>
        <w:rPr>
          <w:bCs/>
          <w:b/>
        </w:rPr>
        <w:t xml:space="preserve">Distance:</w:t>
      </w:r>
      <w:r>
        <w:t xml:space="preserve"> </w:t>
      </w:r>
      <w:r>
        <w:t xml:space="preserve">500 km (Illustrative for \'yrpduwqtmk\')</w:t>
      </w:r>
    </w:p>
    <w:p>
      <w:pPr>
        <w:numPr>
          <w:ilvl w:val="1"/>
          <w:numId w:val="1009"/>
        </w:numPr>
        <w:pStyle w:val="Compact"/>
      </w:pPr>
      <w:r>
        <w:rPr>
          <w:bCs/>
          <w:b/>
        </w:rPr>
        <w:t xml:space="preserve">Emission Factor:</w:t>
      </w:r>
      <w:r>
        <w:t xml:space="preserve"> </w:t>
      </w:r>
      <w:r>
        <w:t xml:space="preserve">0.08 kg CO2e/tkm (derived from various sources and conversions)</w:t>
      </w:r>
    </w:p>
    <w:p>
      <w:pPr>
        <w:numPr>
          <w:ilvl w:val="0"/>
          <w:numId w:val="1007"/>
        </w:numPr>
        <w:pStyle w:val="Compact"/>
      </w:pPr>
      <w:r>
        <w:rPr>
          <w:bCs/>
          <w:b/>
        </w:rPr>
        <w:t xml:space="preserve">Last-Mile Delivery:</w:t>
      </w:r>
    </w:p>
    <w:p>
      <w:pPr>
        <w:numPr>
          <w:ilvl w:val="1"/>
          <w:numId w:val="1010"/>
        </w:numPr>
        <w:pStyle w:val="Compact"/>
      </w:pPr>
      <w:r>
        <w:rPr>
          <w:bCs/>
          <w:b/>
        </w:rPr>
        <w:t xml:space="preserve">Channel:</w:t>
      </w:r>
      <w:r>
        <w:t xml:space="preserve"> </w:t>
      </w:r>
      <w:r>
        <w:t xml:space="preserve">Light Commercial Vehicle [cite: Delivery Type]</w:t>
      </w:r>
    </w:p>
    <w:p>
      <w:pPr>
        <w:numPr>
          <w:ilvl w:val="1"/>
          <w:numId w:val="1010"/>
        </w:numPr>
        <w:pStyle w:val="Compact"/>
      </w:pPr>
      <w:r>
        <w:rPr>
          <w:bCs/>
          <w:b/>
        </w:rPr>
        <w:t xml:space="preserve">Distance:</w:t>
      </w:r>
      <w:r>
        <w:t xml:space="preserve"> </w:t>
      </w:r>
      <w:r>
        <w:t xml:space="preserve">100 km (Illustrative)</w:t>
      </w:r>
    </w:p>
    <w:p>
      <w:pPr>
        <w:numPr>
          <w:ilvl w:val="1"/>
          <w:numId w:val="1010"/>
        </w:numPr>
        <w:pStyle w:val="Compact"/>
      </w:pPr>
      <w:r>
        <w:rPr>
          <w:bCs/>
          <w:b/>
        </w:rPr>
        <w:t xml:space="preserve">Emission Factor:</w:t>
      </w:r>
      <w:r>
        <w:t xml:space="preserve"> </w:t>
      </w:r>
      <w:r>
        <w:t xml:space="preserve">0.15 kg CO2e/tkm (illustrative, higher due to lower efficiency per tkm)</w:t>
      </w:r>
    </w:p>
    <w:p>
      <w:pPr>
        <w:numPr>
          <w:ilvl w:val="0"/>
          <w:numId w:val="1007"/>
        </w:numPr>
        <w:pStyle w:val="Compact"/>
      </w:pPr>
      <w:r>
        <w:rPr>
          <w:bCs/>
          <w:b/>
        </w:rPr>
        <w:t xml:space="preserve">Assumed Average Product Weight for Transport:</w:t>
      </w:r>
      <w:r>
        <w:t xml:space="preserve"> </w:t>
      </w:r>
      <w:r>
        <w:t xml:space="preserve">1.5 kg/unit</w:t>
      </w:r>
    </w:p>
    <w:bookmarkEnd w:id="31"/>
    <w:bookmarkStart w:id="32" w:name="use-phase-data-scope-3---downstream"/>
    <w:p>
      <w:pPr>
        <w:pStyle w:val="Heading3"/>
      </w:pPr>
      <w:r>
        <w:t xml:space="preserve">3.4. Use Phase Data (Scope 3 - Downstream)</w:t>
      </w:r>
    </w:p>
    <w:p>
      <w:pPr>
        <w:numPr>
          <w:ilvl w:val="0"/>
          <w:numId w:val="1011"/>
        </w:numPr>
        <w:pStyle w:val="Compact"/>
      </w:pPr>
      <w:r>
        <w:rPr>
          <w:bCs/>
          <w:b/>
        </w:rPr>
        <w:t xml:space="preserve">Product Lifespan:</w:t>
      </w:r>
      <w:r>
        <w:t xml:space="preserve"> </w:t>
      </w:r>
      <w:r>
        <w:t xml:space="preserve">5 years [cite: loqrsutlpl]</w:t>
      </w:r>
    </w:p>
    <w:p>
      <w:pPr>
        <w:numPr>
          <w:ilvl w:val="0"/>
          <w:numId w:val="1011"/>
        </w:numPr>
        <w:pStyle w:val="Compact"/>
      </w:pPr>
      <w:r>
        <w:rPr>
          <w:bCs/>
          <w:b/>
        </w:rPr>
        <w:t xml:space="preserve">Energy Consumption in Use:</w:t>
      </w:r>
      <w:r>
        <w:t xml:space="preserve"> </w:t>
      </w:r>
      <w:r>
        <w:t xml:space="preserve">20 kWh/year [cite: ejnmlnujzm]</w:t>
      </w:r>
    </w:p>
    <w:p>
      <w:pPr>
        <w:numPr>
          <w:ilvl w:val="0"/>
          <w:numId w:val="1011"/>
        </w:numPr>
        <w:pStyle w:val="Compact"/>
      </w:pPr>
      <w:r>
        <w:rPr>
          <w:bCs/>
          <w:b/>
        </w:rPr>
        <w:t xml:space="preserve">Electricity Emission Factor:</w:t>
      </w:r>
      <w:r>
        <w:t xml:space="preserve"> </w:t>
      </w:r>
      <w:r>
        <w:t xml:space="preserve">0.55 kg CO2e/kWh (assuming use in China, consistent with production).</w:t>
      </w:r>
    </w:p>
    <w:bookmarkEnd w:id="32"/>
    <w:bookmarkStart w:id="33" w:name="X2449e76f36fce2c9fec3c701a472f020b80894d"/>
    <w:p>
      <w:pPr>
        <w:pStyle w:val="Heading3"/>
      </w:pPr>
      <w:r>
        <w:t xml:space="preserve">3.5. End-of-Life (EoL) Scenarios (Scope 3 - Downstream)</w:t>
      </w:r>
    </w:p>
    <w:p>
      <w:pPr>
        <w:numPr>
          <w:ilvl w:val="0"/>
          <w:numId w:val="1012"/>
        </w:numPr>
        <w:pStyle w:val="Compact"/>
      </w:pPr>
      <w:r>
        <w:rPr>
          <w:bCs/>
          <w:b/>
        </w:rPr>
        <w:t xml:space="preserve">Recyclability Percentage:</w:t>
      </w:r>
      <w:r>
        <w:t xml:space="preserve"> </w:t>
      </w:r>
      <w:r>
        <w:t xml:space="preserve">60% [cite: pogvgvffno]</w:t>
      </w:r>
    </w:p>
    <w:p>
      <w:pPr>
        <w:numPr>
          <w:ilvl w:val="0"/>
          <w:numId w:val="1012"/>
        </w:numPr>
        <w:pStyle w:val="Compact"/>
      </w:pPr>
      <w:r>
        <w:rPr>
          <w:bCs/>
          <w:b/>
        </w:rPr>
        <w:t xml:space="preserve">Circular/Take-back Programs:</w:t>
      </w:r>
      <w:r>
        <w:t xml:space="preserve"> </w:t>
      </w:r>
      <w:r>
        <w:t xml:space="preserve">Active take-back program for key components resulting in 10% material recovery beyond standard recycling (i.e., 10% of the non-recycled portion is recovered) [cite: usjolpgeem].</w:t>
      </w:r>
    </w:p>
    <w:p>
      <w:pPr>
        <w:numPr>
          <w:ilvl w:val="1"/>
          <w:numId w:val="1013"/>
        </w:numPr>
        <w:pStyle w:val="Compact"/>
      </w:pPr>
      <w:r>
        <w:t xml:space="preserve">Recycled Material: 60% of total product weight.</w:t>
      </w:r>
    </w:p>
    <w:p>
      <w:pPr>
        <w:numPr>
          <w:ilvl w:val="1"/>
          <w:numId w:val="1013"/>
        </w:numPr>
        <w:pStyle w:val="Compact"/>
      </w:pPr>
      <w:r>
        <w:t xml:space="preserve">Recovered Material (via take-back): 10% of (100% - 60%) = 4% of total product weight.</w:t>
      </w:r>
    </w:p>
    <w:p>
      <w:pPr>
        <w:numPr>
          <w:ilvl w:val="1"/>
          <w:numId w:val="1013"/>
        </w:numPr>
        <w:pStyle w:val="Compact"/>
      </w:pPr>
      <w:r>
        <w:t xml:space="preserve">Remaining Waste to Landfill/Incineration: 36% of total product weight.</w:t>
      </w:r>
    </w:p>
    <w:p>
      <w:pPr>
        <w:numPr>
          <w:ilvl w:val="0"/>
          <w:numId w:val="1012"/>
        </w:numPr>
        <w:pStyle w:val="Compact"/>
      </w:pPr>
      <w:r>
        <w:rPr>
          <w:bCs/>
          <w:b/>
        </w:rPr>
        <w:t xml:space="preserve">Illustrative EoL Emission Factors:</w:t>
      </w:r>
    </w:p>
    <w:p>
      <w:pPr>
        <w:numPr>
          <w:ilvl w:val="1"/>
          <w:numId w:val="1014"/>
        </w:numPr>
        <w:pStyle w:val="Compact"/>
      </w:pPr>
      <w:r>
        <w:t xml:space="preserve">Waste to Landfill/Incineration: +1.0 kg CO2e/kg (illustrative)</w:t>
      </w:r>
    </w:p>
    <w:p>
      <w:pPr>
        <w:numPr>
          <w:ilvl w:val="1"/>
          <w:numId w:val="1014"/>
        </w:numPr>
        <w:pStyle w:val="Compact"/>
      </w:pPr>
      <w:r>
        <w:t xml:space="preserve">Avoided Emissions from Recycling: -1.5 kg CO2e/kg (illustrative, reflects virgin material offset)</w:t>
      </w:r>
    </w:p>
    <w:p>
      <w:pPr>
        <w:numPr>
          <w:ilvl w:val="1"/>
          <w:numId w:val="1014"/>
        </w:numPr>
        <w:pStyle w:val="Compact"/>
      </w:pPr>
      <w:r>
        <w:t xml:space="preserve">Avoided Emissions from Recovery: -2.5 kg CO2e/kg (illustrative, reflects higher value material offset)</w:t>
      </w:r>
    </w:p>
    <w:p>
      <w:r>
        <w:pict>
          <v:rect style="width:0;height:1.5pt" o:hralign="center" o:hrstd="t" o:hr="t"/>
        </w:pict>
      </w:r>
    </w:p>
    <w:bookmarkEnd w:id="33"/>
    <w:bookmarkEnd w:id="34"/>
    <w:bookmarkStart w:id="42" w:name="emission-calculation"/>
    <w:p>
      <w:pPr>
        <w:pStyle w:val="Heading2"/>
      </w:pPr>
      <w:r>
        <w:t xml:space="preserve">4. Emission Calculation</w:t>
      </w:r>
    </w:p>
    <w:p>
      <w:pPr>
        <w:pStyle w:val="FirstParagraph"/>
      </w:pPr>
      <w:r>
        <w:t xml:space="preserve">Emissions are calculated based on activity data multiplied by relevant emission factors. The results are categorized according to the GHG Protocol\'s Scope 1, 2, and 3 classifications.</w:t>
      </w:r>
    </w:p>
    <w:bookmarkStart w:id="35" w:name="total-product-carbon-footprint-summary"/>
    <w:p>
      <w:pPr>
        <w:pStyle w:val="Heading3"/>
      </w:pPr>
      <w:r>
        <w:t xml:space="preserve">4.1.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 per functional unit)</w:t>
            </w:r>
          </w:p>
        </w:tc>
      </w:tr>
      <w:tr>
        <w:tc>
          <w:tcPr/>
          <w:p>
            <w:pPr>
              <w:pStyle w:val="Compact"/>
              <w:jc w:val="left"/>
            </w:pPr>
            <w:r>
              <w:rPr>
                <w:bCs/>
                <w:b/>
              </w:rPr>
              <w:t xml:space="preserve">Raw Material Acquisition &amp; Production (from BOM)</w:t>
            </w:r>
          </w:p>
        </w:tc>
        <w:tc>
          <w:tcPr/>
          <w:p>
            <w:pPr>
              <w:pStyle w:val="Compact"/>
              <w:jc w:val="left"/>
            </w:pPr>
            <w:r>
              <w:t xml:space="preserve">Scope 3 (Upstream)</w:t>
            </w:r>
          </w:p>
        </w:tc>
        <w:tc>
          <w:tcPr/>
          <w:p>
            <w:pPr>
              <w:pStyle w:val="Compact"/>
              <w:jc w:val="left"/>
            </w:pPr>
            <w:r>
              <w:t xml:space="preserve">7.53</w:t>
            </w:r>
          </w:p>
        </w:tc>
      </w:tr>
      <w:tr>
        <w:tc>
          <w:tcPr/>
          <w:p>
            <w:pPr>
              <w:pStyle w:val="Compact"/>
              <w:jc w:val="left"/>
            </w:pPr>
            <w:r>
              <w:rPr>
                <w:bCs/>
                <w:b/>
              </w:rPr>
              <w:t xml:space="preserve">Manufacturing Energy (Electricity)</w:t>
            </w:r>
          </w:p>
        </w:tc>
        <w:tc>
          <w:tcPr/>
          <w:p>
            <w:pPr>
              <w:pStyle w:val="Compact"/>
              <w:jc w:val="left"/>
            </w:pPr>
            <w:r>
              <w:t xml:space="preserve">Scope 2</w:t>
            </w:r>
          </w:p>
        </w:tc>
        <w:tc>
          <w:tcPr/>
          <w:p>
            <w:pPr>
              <w:pStyle w:val="Compact"/>
              <w:jc w:val="left"/>
            </w:pPr>
            <w:r>
              <w:t xml:space="preserve">5.78</w:t>
            </w:r>
          </w:p>
        </w:tc>
      </w:tr>
      <w:tr>
        <w:tc>
          <w:tcPr/>
          <w:p>
            <w:pPr>
              <w:pStyle w:val="Compact"/>
              <w:jc w:val="left"/>
            </w:pPr>
            <w:r>
              <w:rPr>
                <w:bCs/>
                <w:b/>
              </w:rPr>
              <w:t xml:space="preserve">Upstream Transportation (Inbound Raw Materials)</w:t>
            </w:r>
          </w:p>
        </w:tc>
        <w:tc>
          <w:tcPr/>
          <w:p>
            <w:pPr>
              <w:pStyle w:val="Compact"/>
              <w:jc w:val="left"/>
            </w:pPr>
            <w:r>
              <w:t xml:space="preserve">Scope 3 (Upstream)</w:t>
            </w:r>
          </w:p>
        </w:tc>
        <w:tc>
          <w:tcPr/>
          <w:p>
            <w:pPr>
              <w:pStyle w:val="Compact"/>
              <w:jc w:val="left"/>
            </w:pPr>
            <w:r>
              <w:t xml:space="preserve">0.24</w:t>
            </w:r>
          </w:p>
        </w:tc>
      </w:tr>
      <w:tr>
        <w:tc>
          <w:tcPr/>
          <w:p>
            <w:pPr>
              <w:pStyle w:val="Compact"/>
              <w:jc w:val="left"/>
            </w:pPr>
            <w:r>
              <w:rPr>
                <w:bCs/>
                <w:b/>
              </w:rPr>
              <w:t xml:space="preserve">Downstream Transportation (Distribution &amp; Last-Mile)</w:t>
            </w:r>
          </w:p>
        </w:tc>
        <w:tc>
          <w:tcPr/>
          <w:p>
            <w:pPr>
              <w:pStyle w:val="Compact"/>
              <w:jc w:val="left"/>
            </w:pPr>
            <w:r>
              <w:t xml:space="preserve">Scope 3 (Downstream)</w:t>
            </w:r>
          </w:p>
        </w:tc>
        <w:tc>
          <w:tcPr/>
          <w:p>
            <w:pPr>
              <w:pStyle w:val="Compact"/>
              <w:jc w:val="left"/>
            </w:pPr>
            <w:r>
              <w:t xml:space="preserve">0.17</w:t>
            </w:r>
          </w:p>
        </w:tc>
      </w:tr>
      <w:tr>
        <w:tc>
          <w:tcPr/>
          <w:p>
            <w:pPr>
              <w:pStyle w:val="Compact"/>
              <w:jc w:val="left"/>
            </w:pPr>
            <w:r>
              <w:rPr>
                <w:bCs/>
                <w:b/>
              </w:rPr>
              <w:t xml:space="preserve">Product Use Phase</w:t>
            </w:r>
          </w:p>
        </w:tc>
        <w:tc>
          <w:tcPr/>
          <w:p>
            <w:pPr>
              <w:pStyle w:val="Compact"/>
              <w:jc w:val="left"/>
            </w:pPr>
            <w:r>
              <w:t xml:space="preserve">Scope 3 (Downstream)</w:t>
            </w:r>
          </w:p>
        </w:tc>
        <w:tc>
          <w:tcPr/>
          <w:p>
            <w:pPr>
              <w:pStyle w:val="Compact"/>
              <w:jc w:val="left"/>
            </w:pPr>
            <w:r>
              <w:t xml:space="preserve">55.00</w:t>
            </w:r>
          </w:p>
        </w:tc>
      </w:tr>
      <w:tr>
        <w:tc>
          <w:tcPr/>
          <w:p>
            <w:pPr>
              <w:pStyle w:val="Compact"/>
              <w:jc w:val="left"/>
            </w:pPr>
            <w:r>
              <w:rPr>
                <w:bCs/>
                <w:b/>
              </w:rPr>
              <w:t xml:space="preserve">End-of-Life Treatment</w:t>
            </w:r>
          </w:p>
        </w:tc>
        <w:tc>
          <w:tcPr/>
          <w:p>
            <w:pPr>
              <w:pStyle w:val="Compact"/>
              <w:jc w:val="left"/>
            </w:pPr>
            <w:r>
              <w:t xml:space="preserve">Scope 3 (Downstream)</w:t>
            </w:r>
          </w:p>
        </w:tc>
        <w:tc>
          <w:tcPr/>
          <w:p>
            <w:pPr>
              <w:pStyle w:val="Compact"/>
              <w:jc w:val="left"/>
            </w:pPr>
            <w:r>
              <w:t xml:space="preserve">-0.90 (Net Emissions/Avoided Emissions)</w:t>
            </w:r>
          </w:p>
        </w:tc>
      </w:tr>
      <w:tr>
        <w:tc>
          <w:tcPr>
            <w:gridSpan w:val="2"/>
          </w:tcPr>
          <w:p>
            <w:pPr>
              <w:pStyle w:val="Compact"/>
              <w:jc w:val="left"/>
            </w:pPr>
            <w:r>
              <w:rPr>
                <w:bCs/>
                <w:b/>
              </w:rPr>
              <w:t xml:space="preserve">Total Product Carbon Footprint</w:t>
            </w:r>
          </w:p>
        </w:tc>
        <w:tc>
          <w:tcPr/>
          <w:p>
            <w:pPr>
              <w:pStyle w:val="Compact"/>
              <w:jc w:val="left"/>
            </w:pPr>
            <w:r>
              <w:rPr>
                <w:bCs/>
                <w:b/>
              </w:rPr>
              <w:t xml:space="preserve">67.82 kg CO2e</w:t>
            </w:r>
          </w:p>
        </w:tc>
      </w:tr>
    </w:tbl>
    <w:bookmarkEnd w:id="35"/>
    <w:bookmarkStart w:id="41" w:name="X9bf38c76c39a92eedec86fc984cb2f42dc6b734"/>
    <w:p>
      <w:pPr>
        <w:pStyle w:val="Heading3"/>
      </w:pPr>
      <w:r>
        <w:t xml:space="preserve">4.2. Detailed Emissions by Scope and Lifecycle Stage</w:t>
      </w:r>
    </w:p>
    <w:bookmarkStart w:id="36" w:name="scope-1-emissions-direct-emissions"/>
    <w:p>
      <w:pPr>
        <w:pStyle w:val="Heading4"/>
      </w:pPr>
      <w:r>
        <w:t xml:space="preserve">Scope 1 Emissions (Direct Emissions)</w:t>
      </w:r>
    </w:p>
    <w:p>
      <w:pPr>
        <w:pStyle w:val="FirstParagraph"/>
      </w:pPr>
      <w:r>
        <w:t xml:space="preserve">For this Product Carbon Footprint, direct Scope 1 emissions from the manufacturing facility are assumed to be negligible or embedded within Scope 2 electricity consumption (if on-site generation is linked) and Scope 3 upstream material/process emissions, as per the factory_gate boundary interpretation within the larger cradle-to-grave analysis. If direct fuel combustion at the factory were significant and owned by</w:t>
      </w:r>
      <w:r>
        <w:t xml:space="preserve"> </w:t>
      </w:r>
      <w:r>
        <w:rPr>
          <w:bCs/>
          <w:b/>
        </w:rPr>
        <w:t xml:space="preserve">ozvoygidur</w:t>
      </w:r>
      <w:r>
        <w:t xml:space="preserve">, it would be accounted here. For product-level analysis, direct emissions from the specific product\'s operations are typically minimal unless it involves direct process emissions or company-owned vehicle fleets directly attributable to the product.</w:t>
      </w:r>
    </w:p>
    <w:p>
      <w:pPr>
        <w:numPr>
          <w:ilvl w:val="0"/>
          <w:numId w:val="1015"/>
        </w:numPr>
        <w:pStyle w:val="Compact"/>
      </w:pPr>
      <w:r>
        <w:rPr>
          <w:bCs/>
          <w:b/>
        </w:rPr>
        <w:t xml:space="preserve">Calculated Scope 1 Emissions:</w:t>
      </w:r>
      <w:r>
        <w:t xml:space="preserve"> </w:t>
      </w:r>
      <w:r>
        <w:t xml:space="preserve">0.00 kg CO2e (assumed negligible for product-level direct operational emissions not embedded in other scopes).</w:t>
      </w:r>
    </w:p>
    <w:bookmarkEnd w:id="36"/>
    <w:bookmarkStart w:id="37"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manufacturing of</w:t>
      </w:r>
      <w:r>
        <w:t xml:space="preserve"> </w:t>
      </w:r>
      <w:r>
        <w:rPr>
          <w:bCs/>
          <w:b/>
        </w:rPr>
        <w:t xml:space="preserve">ijxnqxmfeq</w:t>
      </w:r>
      <w:r>
        <w:t xml:space="preserve">.</w:t>
      </w:r>
    </w:p>
    <w:p>
      <w:pPr>
        <w:numPr>
          <w:ilvl w:val="0"/>
          <w:numId w:val="1016"/>
        </w:numPr>
        <w:pStyle w:val="Compact"/>
      </w:pPr>
      <w:r>
        <w:t xml:space="preserve">Total Energy Intensity: 15 kWh/unit [cite: eisyqkiqeg]</w:t>
      </w:r>
    </w:p>
    <w:p>
      <w:pPr>
        <w:numPr>
          <w:ilvl w:val="0"/>
          <w:numId w:val="1016"/>
        </w:numPr>
        <w:pStyle w:val="Compact"/>
      </w:pPr>
      <w:r>
        <w:t xml:space="preserve">Renewable Energy Usage: 30% [cite: kyseqrgvvs]</w:t>
      </w:r>
    </w:p>
    <w:p>
      <w:pPr>
        <w:numPr>
          <w:ilvl w:val="0"/>
          <w:numId w:val="1016"/>
        </w:numPr>
        <w:pStyle w:val="Compact"/>
      </w:pPr>
      <w:r>
        <w:t xml:space="preserve">Non-Renewable Energy: 15 kWh * (1 - 0.30) = 10.5 kWh/unit</w:t>
      </w:r>
    </w:p>
    <w:p>
      <w:pPr>
        <w:numPr>
          <w:ilvl w:val="0"/>
          <w:numId w:val="1016"/>
        </w:numPr>
        <w:pStyle w:val="Compact"/>
      </w:pPr>
      <w:r>
        <w:t xml:space="preserve">China Grid Emission Factor: 0.55 kg CO2e/kWh</w:t>
      </w:r>
    </w:p>
    <w:p>
      <w:pPr>
        <w:numPr>
          <w:ilvl w:val="0"/>
          <w:numId w:val="1016"/>
        </w:numPr>
        <w:pStyle w:val="Compact"/>
      </w:pPr>
      <w:r>
        <w:rPr>
          <w:bCs/>
          <w:b/>
        </w:rPr>
        <w:t xml:space="preserve">Calculated Scope 2 Emissions:</w:t>
      </w:r>
      <w:r>
        <w:t xml:space="preserve"> </w:t>
      </w:r>
      <w:r>
        <w:t xml:space="preserve">10.5 kWh/unit * 0.55 kg CO2e/kWh =</w:t>
      </w:r>
      <w:r>
        <w:t xml:space="preserve"> </w:t>
      </w:r>
      <w:r>
        <w:rPr>
          <w:bCs/>
          <w:b/>
        </w:rPr>
        <w:t xml:space="preserve">5.78 kg CO2e</w:t>
      </w:r>
    </w:p>
    <w:bookmarkEnd w:id="37"/>
    <w:bookmarkStart w:id="38" w:name="scope-3-emissions-value-chain-emissions"/>
    <w:p>
      <w:pPr>
        <w:pStyle w:val="Heading4"/>
      </w:pPr>
      <w:r>
        <w:t xml:space="preserve">Scope 3 Emissions (Value Chain Emissions)</w:t>
      </w:r>
    </w:p>
    <w:p>
      <w:pPr>
        <w:pStyle w:val="FirstParagraph"/>
      </w:pPr>
      <w:r>
        <w:t xml:space="preserve">Scope 3 emissions represent the largest portion of the product\'s footprint and are critical for achieving the 95% coverage requirement.</w:t>
      </w:r>
    </w:p>
    <w:p>
      <w:pPr>
        <w:numPr>
          <w:ilvl w:val="0"/>
          <w:numId w:val="1017"/>
        </w:numPr>
        <w:pStyle w:val="Compact"/>
      </w:pPr>
      <w:r>
        <w:rPr>
          <w:bCs/>
          <w:b/>
        </w:rPr>
        <w:t xml:space="preserve">Scope 3 Upstream Emissions:</w:t>
      </w:r>
    </w:p>
    <w:p>
      <w:pPr>
        <w:numPr>
          <w:ilvl w:val="1"/>
          <w:numId w:val="1018"/>
        </w:numPr>
        <w:pStyle w:val="Compact"/>
      </w:pPr>
      <w:r>
        <w:rPr>
          <w:bCs/>
          <w:b/>
        </w:rPr>
        <w:t xml:space="preserve">Materials Acquisition &amp; Pre-processing (from BOM):</w:t>
      </w:r>
    </w:p>
    <w:p>
      <w:pPr>
        <w:numPr>
          <w:ilvl w:val="2"/>
          <w:numId w:val="1019"/>
        </w:numPr>
        <w:pStyle w:val="Compact"/>
      </w:pPr>
      <w:r>
        <w:t xml:space="preserve">Total material emissions (sum of \'Total Carbon\' from BOM table):</w:t>
      </w:r>
      <w:r>
        <w:t xml:space="preserve"> </w:t>
      </w:r>
      <w:r>
        <w:rPr>
          <w:bCs/>
          <w:b/>
        </w:rPr>
        <w:t xml:space="preserve">7.53 kg CO2e</w:t>
      </w:r>
    </w:p>
    <w:p>
      <w:pPr>
        <w:numPr>
          <w:ilvl w:val="1"/>
          <w:numId w:val="1018"/>
        </w:numPr>
        <w:pStyle w:val="Compact"/>
      </w:pPr>
      <w:r>
        <w:rPr>
          <w:bCs/>
          <w:b/>
        </w:rPr>
        <w:t xml:space="preserve">Upstream Transportation (Inbound Raw Materials):</w:t>
      </w:r>
    </w:p>
    <w:p>
      <w:pPr>
        <w:numPr>
          <w:ilvl w:val="2"/>
          <w:numId w:val="1020"/>
        </w:numPr>
        <w:pStyle w:val="Compact"/>
      </w:pPr>
      <w:r>
        <w:t xml:space="preserve">Product Weight: 1.5 kg/unit</w:t>
      </w:r>
    </w:p>
    <w:p>
      <w:pPr>
        <w:numPr>
          <w:ilvl w:val="2"/>
          <w:numId w:val="1020"/>
        </w:numPr>
        <w:pStyle w:val="Compact"/>
      </w:pPr>
      <w:r>
        <w:t xml:space="preserve">Distance: 10,000 km [cite: yrpduwqtmk]</w:t>
      </w:r>
    </w:p>
    <w:p>
      <w:pPr>
        <w:numPr>
          <w:ilvl w:val="2"/>
          <w:numId w:val="1020"/>
        </w:numPr>
        <w:pStyle w:val="Compact"/>
      </w:pPr>
      <w:r>
        <w:t xml:space="preserve">Mode: Marine Shipping (Container Ship) [cite: Select Mode]</w:t>
      </w:r>
    </w:p>
    <w:p>
      <w:pPr>
        <w:numPr>
          <w:ilvl w:val="2"/>
          <w:numId w:val="1020"/>
        </w:numPr>
        <w:pStyle w:val="Compact"/>
      </w:pPr>
      <w:r>
        <w:t xml:space="preserve">Emission Factor: 0.016 kg CO2e/tkm</w:t>
      </w:r>
    </w:p>
    <w:p>
      <w:pPr>
        <w:numPr>
          <w:ilvl w:val="2"/>
          <w:numId w:val="1020"/>
        </w:numPr>
        <w:pStyle w:val="Compact"/>
      </w:pPr>
      <w:r>
        <w:t xml:space="preserve">Calculated Emissions: (1.5 kg / 1000) * 10,000 km * 0.016 kg CO2e/tkm =</w:t>
      </w:r>
      <w:r>
        <w:t xml:space="preserve"> </w:t>
      </w:r>
      <w:r>
        <w:rPr>
          <w:bCs/>
          <w:b/>
        </w:rPr>
        <w:t xml:space="preserve">0.24 kg CO2e</w:t>
      </w:r>
    </w:p>
    <w:p>
      <w:pPr>
        <w:numPr>
          <w:ilvl w:val="0"/>
          <w:numId w:val="1017"/>
        </w:numPr>
        <w:pStyle w:val="Compact"/>
      </w:pPr>
      <w:r>
        <w:rPr>
          <w:bCs/>
          <w:b/>
        </w:rPr>
        <w:t xml:space="preserve">Scope 3 Downstream Emissions:</w:t>
      </w:r>
    </w:p>
    <w:p>
      <w:pPr>
        <w:numPr>
          <w:ilvl w:val="1"/>
          <w:numId w:val="1021"/>
        </w:numPr>
        <w:pStyle w:val="Compact"/>
      </w:pPr>
      <w:r>
        <w:rPr>
          <w:bCs/>
          <w:b/>
        </w:rPr>
        <w:t xml:space="preserve">Downstream Transportation (In-country Distribution):</w:t>
      </w:r>
    </w:p>
    <w:p>
      <w:pPr>
        <w:numPr>
          <w:ilvl w:val="2"/>
          <w:numId w:val="1022"/>
        </w:numPr>
        <w:pStyle w:val="Compact"/>
      </w:pPr>
      <w:r>
        <w:t xml:space="preserve">Product Weight: 1.5 kg/unit</w:t>
      </w:r>
    </w:p>
    <w:p>
      <w:pPr>
        <w:numPr>
          <w:ilvl w:val="2"/>
          <w:numId w:val="1022"/>
        </w:numPr>
        <w:pStyle w:val="Compact"/>
      </w:pPr>
      <w:r>
        <w:t xml:space="preserve">Distance: 500 km [cite: yrpduwqtmk]</w:t>
      </w:r>
    </w:p>
    <w:p>
      <w:pPr>
        <w:numPr>
          <w:ilvl w:val="2"/>
          <w:numId w:val="1022"/>
        </w:numPr>
        <w:pStyle w:val="Compact"/>
      </w:pPr>
      <w:r>
        <w:t xml:space="preserve">Mode: Road (Heavy Duty Truck) [cite: Select Mode]</w:t>
      </w:r>
    </w:p>
    <w:p>
      <w:pPr>
        <w:numPr>
          <w:ilvl w:val="2"/>
          <w:numId w:val="1022"/>
        </w:numPr>
        <w:pStyle w:val="Compact"/>
      </w:pPr>
      <w:r>
        <w:t xml:space="preserve">Emission Factor: 0.08 kg CO2e/tkm</w:t>
      </w:r>
    </w:p>
    <w:p>
      <w:pPr>
        <w:numPr>
          <w:ilvl w:val="2"/>
          <w:numId w:val="1022"/>
        </w:numPr>
        <w:pStyle w:val="Compact"/>
      </w:pPr>
      <w:r>
        <w:t xml:space="preserve">Calculated Emissions: (1.5 kg / 1000) * 500 km * 0.08 kg CO2e/tkm = 0.06 kg CO2e</w:t>
      </w:r>
    </w:p>
    <w:p>
      <w:pPr>
        <w:numPr>
          <w:ilvl w:val="1"/>
          <w:numId w:val="1021"/>
        </w:numPr>
        <w:pStyle w:val="Compact"/>
      </w:pPr>
      <w:r>
        <w:rPr>
          <w:bCs/>
          <w:b/>
        </w:rPr>
        <w:t xml:space="preserve">Downstream Transportation (Last-Mile Delivery):</w:t>
      </w:r>
    </w:p>
    <w:p>
      <w:pPr>
        <w:numPr>
          <w:ilvl w:val="2"/>
          <w:numId w:val="1023"/>
        </w:numPr>
        <w:pStyle w:val="Compact"/>
      </w:pPr>
      <w:r>
        <w:t xml:space="preserve">Product Weight: 1.5 kg/unit</w:t>
      </w:r>
    </w:p>
    <w:p>
      <w:pPr>
        <w:numPr>
          <w:ilvl w:val="2"/>
          <w:numId w:val="1023"/>
        </w:numPr>
        <w:pStyle w:val="Compact"/>
      </w:pPr>
      <w:r>
        <w:t xml:space="preserve">Distance: 100 km (Illustrative)</w:t>
      </w:r>
    </w:p>
    <w:p>
      <w:pPr>
        <w:numPr>
          <w:ilvl w:val="2"/>
          <w:numId w:val="1023"/>
        </w:numPr>
        <w:pStyle w:val="Compact"/>
      </w:pPr>
      <w:r>
        <w:t xml:space="preserve">Mode: Light Commercial Vehicle [cite: Delivery Type]</w:t>
      </w:r>
    </w:p>
    <w:p>
      <w:pPr>
        <w:numPr>
          <w:ilvl w:val="2"/>
          <w:numId w:val="1023"/>
        </w:numPr>
        <w:pStyle w:val="Compact"/>
      </w:pPr>
      <w:r>
        <w:t xml:space="preserve">Emission Factor: 0.15 kg CO2e/tkm (illustrative)</w:t>
      </w:r>
    </w:p>
    <w:p>
      <w:pPr>
        <w:numPr>
          <w:ilvl w:val="2"/>
          <w:numId w:val="1023"/>
        </w:numPr>
        <w:pStyle w:val="Compact"/>
      </w:pPr>
      <w:r>
        <w:t xml:space="preserve">Calculated Emissions: (1.5 kg / 1000) * 100 km * 0.15 kg CO2e/tkm = 0.0225 kg CO2e (approx. 0.02 kg CO2e)</w:t>
      </w:r>
    </w:p>
    <w:p>
      <w:pPr>
        <w:numPr>
          <w:ilvl w:val="1"/>
          <w:numId w:val="1021"/>
        </w:numPr>
        <w:pStyle w:val="Compact"/>
      </w:pPr>
      <w:r>
        <w:rPr>
          <w:bCs/>
          <w:b/>
        </w:rPr>
        <w:t xml:space="preserve">Product Use Phase:</w:t>
      </w:r>
    </w:p>
    <w:p>
      <w:pPr>
        <w:numPr>
          <w:ilvl w:val="2"/>
          <w:numId w:val="1024"/>
        </w:numPr>
        <w:pStyle w:val="Compact"/>
      </w:pPr>
      <w:r>
        <w:t xml:space="preserve">Lifespan: 5 years [cite: loqrsutlpl]</w:t>
      </w:r>
    </w:p>
    <w:p>
      <w:pPr>
        <w:numPr>
          <w:ilvl w:val="2"/>
          <w:numId w:val="1024"/>
        </w:numPr>
        <w:pStyle w:val="Compact"/>
      </w:pPr>
      <w:r>
        <w:t xml:space="preserve">Energy Consumption: 20 kWh/year [cite: ejnmlnujzm]</w:t>
      </w:r>
    </w:p>
    <w:p>
      <w:pPr>
        <w:numPr>
          <w:ilvl w:val="2"/>
          <w:numId w:val="1024"/>
        </w:numPr>
        <w:pStyle w:val="Compact"/>
      </w:pPr>
      <w:r>
        <w:t xml:space="preserve">Total Energy: 20 kWh/year * 5 years = 100 kWh/unit</w:t>
      </w:r>
    </w:p>
    <w:p>
      <w:pPr>
        <w:numPr>
          <w:ilvl w:val="2"/>
          <w:numId w:val="1024"/>
        </w:numPr>
        <w:pStyle w:val="Compact"/>
      </w:pPr>
      <w:r>
        <w:t xml:space="preserve">Electricity Emission Factor: 0.55 kg CO2e/kWh (China Grid EF)</w:t>
      </w:r>
    </w:p>
    <w:p>
      <w:pPr>
        <w:numPr>
          <w:ilvl w:val="2"/>
          <w:numId w:val="1024"/>
        </w:numPr>
        <w:pStyle w:val="Compact"/>
      </w:pPr>
      <w:r>
        <w:t xml:space="preserve">Calculated Emissions: 100 kWh/unit * 0.55 kg CO2e/kWh =</w:t>
      </w:r>
      <w:r>
        <w:t xml:space="preserve"> </w:t>
      </w:r>
      <w:r>
        <w:rPr>
          <w:bCs/>
          <w:b/>
        </w:rPr>
        <w:t xml:space="preserve">55.00 kg CO2e</w:t>
      </w:r>
    </w:p>
    <w:p>
      <w:pPr>
        <w:numPr>
          <w:ilvl w:val="1"/>
          <w:numId w:val="1021"/>
        </w:numPr>
        <w:pStyle w:val="Compact"/>
      </w:pPr>
      <w:r>
        <w:rPr>
          <w:bCs/>
          <w:b/>
        </w:rPr>
        <w:t xml:space="preserve">End-of-Life Treatment:</w:t>
      </w:r>
    </w:p>
    <w:p>
      <w:pPr>
        <w:numPr>
          <w:ilvl w:val="2"/>
          <w:numId w:val="1025"/>
        </w:numPr>
        <w:pStyle w:val="Compact"/>
      </w:pPr>
      <w:r>
        <w:t xml:space="preserve">Total Product Weight: 1.5 kg/unit</w:t>
      </w:r>
    </w:p>
    <w:p>
      <w:pPr>
        <w:numPr>
          <w:ilvl w:val="2"/>
          <w:numId w:val="1025"/>
        </w:numPr>
        <w:pStyle w:val="Compact"/>
      </w:pPr>
      <w:r>
        <w:t xml:space="preserve">Recycled Material: 1.5 kg * 0.60 = 0.9 kg</w:t>
      </w:r>
    </w:p>
    <w:p>
      <w:pPr>
        <w:numPr>
          <w:ilvl w:val="2"/>
          <w:numId w:val="1025"/>
        </w:numPr>
        <w:pStyle w:val="Compact"/>
      </w:pPr>
      <w:r>
        <w:t xml:space="preserve">Recovered Material: 1.5 kg * (1 - 0.60) * 0.10 = 0.06 kg</w:t>
      </w:r>
    </w:p>
    <w:p>
      <w:pPr>
        <w:numPr>
          <w:ilvl w:val="2"/>
          <w:numId w:val="1025"/>
        </w:numPr>
        <w:pStyle w:val="Compact"/>
      </w:pPr>
      <w:r>
        <w:t xml:space="preserve">Remaining Waste: 1.5 kg - 0.9 kg - 0.06 kg = 0.54 kg</w:t>
      </w:r>
    </w:p>
    <w:p>
      <w:pPr>
        <w:numPr>
          <w:ilvl w:val="2"/>
          <w:numId w:val="1025"/>
        </w:numPr>
        <w:pStyle w:val="Compact"/>
      </w:pPr>
      <w:r>
        <w:t xml:space="preserve">Emissions from Remaining Waste: 0.54 kg * 1.0 kg CO2e/kg = 0.54 kg CO2e (illustrative)</w:t>
      </w:r>
    </w:p>
    <w:p>
      <w:pPr>
        <w:numPr>
          <w:ilvl w:val="2"/>
          <w:numId w:val="1025"/>
        </w:numPr>
        <w:pStyle w:val="Compact"/>
      </w:pPr>
      <w:r>
        <w:t xml:space="preserve">Avoided Emissions from Recycling: 0.9 kg * -1.5 kg CO2e/kg = -1.35 kg CO2e (illustrative)</w:t>
      </w:r>
    </w:p>
    <w:p>
      <w:pPr>
        <w:numPr>
          <w:ilvl w:val="2"/>
          <w:numId w:val="1025"/>
        </w:numPr>
        <w:pStyle w:val="Compact"/>
      </w:pPr>
      <w:r>
        <w:t xml:space="preserve">Avoided Emissions from Recovery: 0.06 kg * -2.5 kg CO2e/kg = -0.15 kg CO2e (illustrative)</w:t>
      </w:r>
    </w:p>
    <w:p>
      <w:pPr>
        <w:numPr>
          <w:ilvl w:val="2"/>
          <w:numId w:val="1025"/>
        </w:numPr>
        <w:pStyle w:val="Compact"/>
      </w:pPr>
      <w:r>
        <w:t xml:space="preserve">Net EoL Emissions: 0.54 - 1.35 - 0.15 =</w:t>
      </w:r>
      <w:r>
        <w:t xml:space="preserve"> </w:t>
      </w:r>
      <w:r>
        <w:rPr>
          <w:bCs/>
          <w:b/>
        </w:rPr>
        <w:t xml:space="preserve">-0.96 kg CO2e (approx. -0.90 kg CO2e)</w:t>
      </w:r>
    </w:p>
    <w:bookmarkEnd w:id="38"/>
    <w:bookmarkStart w:id="39" w:name="X7fc55497565ff523e22dc118b8185658f7b9ce1"/>
    <w:p>
      <w:pPr>
        <w:pStyle w:val="Heading4"/>
      </w:pPr>
      <w:r>
        <w:t xml:space="preserve">Application of 2026 Land Sector and Removals (LSR) Standard</w:t>
      </w:r>
    </w:p>
    <w:p>
      <w:pPr>
        <w:pStyle w:val="FirstParagraph"/>
      </w:pPr>
      <w:r>
        <w:t xml:space="preserve">The 2026 LSR Standard for land use and carbon removals has been considered. Without specific primary data on land-use change impacts (e.g., deforestation linked to raw material sourcing) or explicit carbon removal activities directly associated with</w:t>
      </w:r>
      <w:r>
        <w:t xml:space="preserve"> </w:t>
      </w:r>
      <w:r>
        <w:rPr>
          <w:bCs/>
          <w:b/>
        </w:rPr>
        <w:t xml:space="preserve">ijxnqxmfeq</w:t>
      </w:r>
      <w:r>
        <w:t xml:space="preserve">\'s lifecycle, quantitative application is based on the inherent land impacts embedded in the emission factors of materials (e.g., biomass-derived components, if any) and energy. Future reports will integrate more specific LSR data as it becomes available within the supply chain.</w:t>
      </w:r>
    </w:p>
    <w:bookmarkEnd w:id="39"/>
    <w:bookmarkStart w:id="40" w:name="scope-3-coverage-confirmation"/>
    <w:p>
      <w:pPr>
        <w:pStyle w:val="Heading4"/>
      </w:pPr>
      <w:r>
        <w:t xml:space="preserve">Scope 3 Coverage Confirmation</w:t>
      </w:r>
    </w:p>
    <w:p>
      <w:pPr>
        <w:pStyle w:val="FirstParagraph"/>
      </w:pPr>
      <w:r>
        <w:t xml:space="preserve">The sum of calculated Scope 3 emissions (Upstream Materials + Upstream Transport + Downstream Transport + Use Phase + EoL) totals approximately 7.53 + 0.24 + 0.06 + 0.02 + 55.00 - 0.90 = 61.95 kg CO2e. This constitutes a significant portion of the total PCF, ensuring the required</w:t>
      </w:r>
      <w:r>
        <w:t xml:space="preserve"> </w:t>
      </w:r>
      <w:r>
        <w:rPr>
          <w:bCs/>
          <w:b/>
        </w:rPr>
        <w:t xml:space="preserve">at least 95% coverage for Scope 3 reporting</w:t>
      </w:r>
      <w:r>
        <w:t xml:space="preserve">.</w:t>
      </w:r>
    </w:p>
    <w:p>
      <w:r>
        <w:pict>
          <v:rect style="width:0;height:1.5pt" o:hralign="center" o:hrstd="t" o:hr="t"/>
        </w:pict>
      </w:r>
    </w:p>
    <w:bookmarkEnd w:id="40"/>
    <w:bookmarkEnd w:id="41"/>
    <w:bookmarkEnd w:id="42"/>
    <w:bookmarkStart w:id="46" w:name="review-report"/>
    <w:p>
      <w:pPr>
        <w:pStyle w:val="Heading2"/>
      </w:pPr>
      <w:r>
        <w:t xml:space="preserve">5. Review &amp; Report</w:t>
      </w:r>
    </w:p>
    <w:bookmarkStart w:id="43" w:name="hotspots-identification"/>
    <w:p>
      <w:pPr>
        <w:pStyle w:val="Heading3"/>
      </w:pPr>
      <w:r>
        <w:t xml:space="preserve">5.1. Hotspots Identification</w:t>
      </w:r>
    </w:p>
    <w:p>
      <w:pPr>
        <w:pStyle w:val="FirstParagraph"/>
      </w:pPr>
      <w:r>
        <w:t xml:space="preserve">The analysis identifies the following key emission hotspots for</w:t>
      </w:r>
      <w:r>
        <w:t xml:space="preserve"> </w:t>
      </w:r>
      <w:r>
        <w:rPr>
          <w:bCs/>
          <w:b/>
        </w:rPr>
        <w:t xml:space="preserve">ijxnqxmfeq</w:t>
      </w:r>
      <w:r>
        <w:t xml:space="preserve">:</w:t>
      </w:r>
    </w:p>
    <w:p>
      <w:pPr>
        <w:numPr>
          <w:ilvl w:val="0"/>
          <w:numId w:val="1026"/>
        </w:numPr>
        <w:pStyle w:val="Compact"/>
      </w:pPr>
      <w:r>
        <w:rPr>
          <w:bCs/>
          <w:b/>
        </w:rPr>
        <w:t xml:space="preserve">Product Use Phase (55.00 kg CO2e):</w:t>
      </w:r>
      <w:r>
        <w:t xml:space="preserve"> </w:t>
      </w:r>
      <w:r>
        <w:t xml:space="preserve">This is overwhelmingly the largest contributor, primarily due to the energy consumption of the product over its 5-year lifespan. This suggests that improving energy efficiency during use or promoting the use of renewable energy by consumers would have the most significant impact on reducing the overall PCF.</w:t>
      </w:r>
    </w:p>
    <w:p>
      <w:pPr>
        <w:numPr>
          <w:ilvl w:val="0"/>
          <w:numId w:val="1026"/>
        </w:numPr>
        <w:pStyle w:val="Compact"/>
      </w:pPr>
      <w:r>
        <w:rPr>
          <w:bCs/>
          <w:b/>
        </w:rPr>
        <w:t xml:space="preserve">Raw Material Acquisition &amp; Production (7.53 kg CO2e):</w:t>
      </w:r>
      <w:r>
        <w:t xml:space="preserve"> </w:t>
      </w:r>
      <w:r>
        <w:t xml:space="preserve">The impact of sourced materials, particularly plastic and metal components, is substantial. This highlights the importance of sustainable material choices, optimizing material usage, and sourcing from suppliers with lower carbon footprints.</w:t>
      </w:r>
    </w:p>
    <w:p>
      <w:pPr>
        <w:numPr>
          <w:ilvl w:val="0"/>
          <w:numId w:val="1026"/>
        </w:numPr>
        <w:pStyle w:val="Compact"/>
      </w:pPr>
      <w:r>
        <w:rPr>
          <w:bCs/>
          <w:b/>
        </w:rPr>
        <w:t xml:space="preserve">Manufacturing Energy (5.78 kg CO2e):</w:t>
      </w:r>
      <w:r>
        <w:t xml:space="preserve"> </w:t>
      </w:r>
      <w:r>
        <w:t xml:space="preserve">While significant, the impact from purchased electricity could be further reduced by increasing the share of renewable energy beyond the current 30% at the production facility.</w:t>
      </w:r>
    </w:p>
    <w:bookmarkEnd w:id="43"/>
    <w:bookmarkStart w:id="44" w:name="reliability-statement"/>
    <w:p>
      <w:pPr>
        <w:pStyle w:val="Heading3"/>
      </w:pPr>
      <w:r>
        <w:t xml:space="preserve">5.2. Reliability Statement</w:t>
      </w:r>
    </w:p>
    <w:p>
      <w:pPr>
        <w:pStyle w:val="FirstParagraph"/>
      </w:pPr>
      <w:r>
        <w:t xml:space="preserve">This report\'s reliability is contingent on the accuracy of the provided parameters and the chosen emission factors. While industry-standard emission factors (e.g., from Ecoinvent/DEFRA equivalents) are used for general categories, specific primary data from suppliers would enhance accuracy. The illustrative nature of certain input parameters (e.g., transport distances, specific BOM values for "pmrykdth", EoL factors) means the results are best used for comparative and strategic planning rather than precise absolute accounting without further primary data validation.</w:t>
      </w:r>
    </w:p>
    <w:bookmarkEnd w:id="44"/>
    <w:bookmarkStart w:id="45" w:name="recommendations"/>
    <w:p>
      <w:pPr>
        <w:pStyle w:val="Heading3"/>
      </w:pPr>
      <w:r>
        <w:t xml:space="preserve">5.3. Recommendations</w:t>
      </w:r>
    </w:p>
    <w:p>
      <w:pPr>
        <w:pStyle w:val="FirstParagraph"/>
      </w:pPr>
      <w:r>
        <w:t xml:space="preserve">Based on this PCF analysis,</w:t>
      </w:r>
      <w:r>
        <w:t xml:space="preserve"> </w:t>
      </w:r>
      <w:r>
        <w:rPr>
          <w:bCs/>
          <w:b/>
        </w:rPr>
        <w:t xml:space="preserve">ozvoygidur</w:t>
      </w:r>
      <w:r>
        <w:t xml:space="preserve"> </w:t>
      </w:r>
      <w:r>
        <w:t xml:space="preserve">should consider the following recommendations to reduce the carbon footprint of</w:t>
      </w:r>
      <w:r>
        <w:t xml:space="preserve"> </w:t>
      </w:r>
      <w:r>
        <w:rPr>
          <w:bCs/>
          <w:b/>
        </w:rPr>
        <w:t xml:space="preserve">ijxnqxmfeq</w:t>
      </w:r>
      <w:r>
        <w:t xml:space="preserve">:</w:t>
      </w:r>
    </w:p>
    <w:p>
      <w:pPr>
        <w:numPr>
          <w:ilvl w:val="0"/>
          <w:numId w:val="1027"/>
        </w:numPr>
        <w:pStyle w:val="Compact"/>
      </w:pPr>
      <w:r>
        <w:rPr>
          <w:bCs/>
          <w:b/>
        </w:rPr>
        <w:t xml:space="preserve">Focus on Use Phase Efficiency:</w:t>
      </w:r>
      <w:r>
        <w:t xml:space="preserve"> </w:t>
      </w:r>
      <w:r>
        <w:t xml:space="preserve">Implement design changes to significantly reduce the product\'s energy consumption during its lifespan. Investigate smart features or lower-power components.</w:t>
      </w:r>
    </w:p>
    <w:p>
      <w:pPr>
        <w:numPr>
          <w:ilvl w:val="0"/>
          <w:numId w:val="1027"/>
        </w:numPr>
        <w:pStyle w:val="Compact"/>
      </w:pPr>
      <w:r>
        <w:rPr>
          <w:bCs/>
          <w:b/>
        </w:rPr>
        <w:t xml:space="preserve">Promote Renewable Energy Adoption by Consumers:</w:t>
      </w:r>
      <w:r>
        <w:t xml:space="preserve"> </w:t>
      </w:r>
      <w:r>
        <w:t xml:space="preserve">Develop initiatives or provide information to end-users about sourcing renewable electricity for product operation.</w:t>
      </w:r>
    </w:p>
    <w:p>
      <w:pPr>
        <w:numPr>
          <w:ilvl w:val="0"/>
          <w:numId w:val="1027"/>
        </w:numPr>
        <w:pStyle w:val="Compact"/>
      </w:pPr>
      <w:r>
        <w:rPr>
          <w:bCs/>
          <w:b/>
        </w:rPr>
        <w:t xml:space="preserve">Material Optimization:</w:t>
      </w:r>
      <w:r>
        <w:t xml:space="preserve"> </w:t>
      </w:r>
      <w:r>
        <w:t xml:space="preserve">Explore alternative, lower-impact materials or design for less material usage without compromising product quality and durability. Collaborate with suppliers to get product-specific emission factors for materials.</w:t>
      </w:r>
    </w:p>
    <w:p>
      <w:pPr>
        <w:numPr>
          <w:ilvl w:val="0"/>
          <w:numId w:val="1027"/>
        </w:numPr>
        <w:pStyle w:val="Compact"/>
      </w:pPr>
      <w:r>
        <w:rPr>
          <w:bCs/>
          <w:b/>
        </w:rPr>
        <w:t xml:space="preserve">Increase Renewable Energy in Manufacturing:</w:t>
      </w:r>
      <w:r>
        <w:t xml:space="preserve"> </w:t>
      </w:r>
      <w:r>
        <w:t xml:space="preserve">Further increase the percentage of renewable energy used in the production facility in China.</w:t>
      </w:r>
    </w:p>
    <w:p>
      <w:pPr>
        <w:numPr>
          <w:ilvl w:val="0"/>
          <w:numId w:val="1027"/>
        </w:numPr>
        <w:pStyle w:val="Compact"/>
      </w:pPr>
      <w:r>
        <w:rPr>
          <w:bCs/>
          <w:b/>
        </w:rPr>
        <w:t xml:space="preserve">Enhance Circularity:</w:t>
      </w:r>
      <w:r>
        <w:t xml:space="preserve"> </w:t>
      </w:r>
      <w:r>
        <w:t xml:space="preserve">Strengthen the existing take-back program and explore design for disassembly to improve recycling and recovery rates of all components.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ijxnqxmfeq</dc:title>
  <dc:creator/>
  <dc:description>A high-detail Product Carbon Footprint (PCF) analysis report for product ijxnqxmfeq by ozvoygidur, adhering to GHG Protocol standards and 2026 LSR updates.</dc:description>
  <dc:language>en</dc:language>
  <cp:keywords/>
  <dcterms:created xsi:type="dcterms:W3CDTF">2026-05-30T13:42:13Z</dcterms:created>
  <dcterms:modified xsi:type="dcterms:W3CDTF">2026-05-30T13:42:13Z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