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iivjhlpqno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iivjhlpqno</w:t>
      </w:r>
    </w:p>
    <w:p>
      <w:pPr>
        <w:pStyle w:val="BodyText"/>
      </w:pPr>
      <w:r>
        <w:rPr>
          <w:bCs/>
          <w:b/>
        </w:rPr>
        <w:t xml:space="preserve">Company:</w:t>
      </w:r>
      <w:r>
        <w:t xml:space="preserve"> </w:t>
      </w:r>
      <w:r>
        <w:t xml:space="preserve">spdnvphjgy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kpqkknyhjm</w:t>
      </w:r>
    </w:p>
    <w:p>
      <w:pPr>
        <w:pStyle w:val="BodyText"/>
      </w:pPr>
      <w:r>
        <w:t xml:space="preserve">This report is generated based on available data and industry standards. While efforts have been made to ensure accuracy, the actual carbon footprint may vary depending on real-time operational data and specific supply chain dynamics.</w:t>
      </w:r>
    </w:p>
    <w:bookmarkEnd w:id="20"/>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"iivjhlpqno" manufactured by "spdnvphjgy." The assessment adheres to the Greenhouse Gas (GHG) Protocol, including the 2026 Land Sector and Removals (LSR) Standard update, and aims for at least 95% coverage for Scope 3 emissions. The analysis covers the lifecycle stages from material acquisition to end-of-life, providing a comprehensive understanding of the product\'s environmental impact in terms of CO2e emissions. Key hotspots are identified, and recommendations for emission reduction are provided, based on the specified parameters and available data.</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calculating the Product Carbon Footprint (PCF) for iivjhlpqno is to clearly define the scope of the assessment, ensuring consistency and comparability.</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iivjhlpqno. This unit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w:t>
      </w:r>
      <w:r>
        <w:t xml:space="preserve">This includes all emissions from the extraction of raw materials, their processing, manufacturing of components, assembly of the final product, and all transportation up to the point the product leaves the factory gate. It also includes emissions from purchased electricity and direct emissions from manufacturing.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transport routes and, where applicable, end-of-life scenarios are considered with a European perspective for downstream activities.)</w:t>
      </w:r>
    </w:p>
    <w:p>
      <w:pPr>
        <w:numPr>
          <w:ilvl w:val="0"/>
          <w:numId w:val="1001"/>
        </w:numPr>
        <w:pStyle w:val="Compact"/>
      </w:pPr>
      <w:r>
        <w:rPr>
          <w:bCs/>
          <w:b/>
        </w:rPr>
        <w:t xml:space="preserve">Accounting Standard:</w:t>
      </w:r>
      <w:r>
        <w:t xml:space="preserve"> </w:t>
      </w:r>
      <w:r>
        <w:t xml:space="preserve">The analysis is performed in strict accordance with the</w:t>
      </w:r>
      <w:r>
        <w:t xml:space="preserve"> </w:t>
      </w:r>
      <w:r>
        <w:rPr>
          <w:bCs/>
          <w:b/>
        </w:rPr>
        <w:t xml:space="preserve">GHG Protocol (Corporate Standard and Product Standard)</w:t>
      </w:r>
      <w:r>
        <w:t xml:space="preserve">. Emissions are categorized into Scope 1 (direct emissions), Scope 2 (indirect emissions from purchased electricity),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(1.0 unit of iivjhlpqno) based on mass or economic value where appropriate, ensuring no double-counting and full accountability within the defined system boundary.</w:t>
      </w:r>
    </w:p>
    <w:p>
      <w:r>
        <w:pict>
          <v:rect style="width:0;height:1.5pt" o:hralign="center" o:hrstd="t" o:hr="t"/>
        </w:pict>
      </w:r>
    </w:p>
    <w:bookmarkEnd w:id="22"/>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and the data collected (or assumed for illustrative purposes, given placeholder inputs) for the PCF analysis of iivjhlpqno.</w:t>
      </w:r>
    </w:p>
    <w:bookmarkStart w:id="24" w:name="X139184c57801b20ca7b5bab90e7fc19a8c4004b"/>
    <w:p>
      <w:pPr>
        <w:pStyle w:val="Heading3"/>
      </w:pPr>
      <w:r>
        <w:t xml:space="preserve">Material Acquisition &amp; Pre-processing (Scope 3 - Upstream: Category 1 - Purchased Goods and Services)</w:t>
      </w:r>
    </w:p>
    <w:p>
      <w:pPr>
        <w:pStyle w:val="FirstParagraph"/>
      </w:pPr>
      <w:r>
        <w:t xml:space="preserve">The detailed Bill of Materials (BOM) for "yeikxojr" is crucial for high-accuracy material impact calculation. As specific numerical BOM data were provided as a placeholder string, illustrative data reflecting the specified format are used below to demonstrate the calculation methodology.</w:t>
      </w:r>
    </w:p>
    <w:bookmarkStart w:id="23" w:name="X72da590513a7d6d82e9ca2e0ee82bb39227a4d4"/>
    <w:p>
      <w:pPr>
        <w:pStyle w:val="Heading4"/>
      </w:pPr>
      <w:r>
        <w:t xml:space="preserve">Detailed Bill of Materials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3.20</w:t>
            </w:r>
          </w:p>
        </w:tc>
        <w:tc>
          <w:tcPr/>
          <w:p>
            <w:pPr>
              <w:pStyle w:val="Compact"/>
              <w:jc w:val="left"/>
            </w:pPr>
            <w:r>
              <w:t xml:space="preserve">0.96</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E002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9.11 kg CO2e</w:t>
            </w:r>
          </w:p>
        </w:tc>
      </w:tr>
    </w:tbl>
    <w:p>
      <w:pPr>
        <w:pStyle w:val="BodyText"/>
      </w:pPr>
      <w:r>
        <w:rPr>
          <w:iCs/>
          <w:i/>
        </w:rPr>
        <w:t xml:space="preserve">Note: The "Emission Factor" and "Total Carbon" values in the above table are illustrative, designed to fit the provided BOM format for demonstration purposes. In a real-world scenario, these would be sourced from specific material databases (e.g., Ecoinvent, GaBi) or supplier-specific data.</w:t>
      </w:r>
    </w:p>
    <w:bookmarkEnd w:id="23"/>
    <w:bookmarkEnd w:id="24"/>
    <w:bookmarkStart w:id="25" w:name="production-phase-scope-1-2"/>
    <w:p>
      <w:pPr>
        <w:pStyle w:val="Heading3"/>
      </w:pPr>
      <w:r>
        <w:t xml:space="preserve">Production Phase (Scope 1 &amp; 2)</w:t>
      </w:r>
    </w:p>
    <w:p>
      <w:pPr>
        <w:pStyle w:val="FirstParagraph"/>
      </w:pPr>
      <w:r>
        <w:t xml:space="preserve">This phase accounts for emissions generated during the manufacturing and assembly of iivjhlpqno at the spdnvphjgy facility in China.</w:t>
      </w:r>
    </w:p>
    <w:p>
      <w:pPr>
        <w:numPr>
          <w:ilvl w:val="0"/>
          <w:numId w:val="1003"/>
        </w:numPr>
        <w:pStyle w:val="Compact"/>
      </w:pPr>
      <w:r>
        <w:rPr>
          <w:bCs/>
          <w:b/>
        </w:rPr>
        <w:t xml:space="preserve">Renewable Energy Usage:</w:t>
      </w:r>
      <w:r>
        <w:t xml:space="preserve"> </w:t>
      </w:r>
      <w:r>
        <w:t xml:space="preserve">`duvsgodudp` (e.g., assumed 70% for calculation)</w:t>
      </w:r>
    </w:p>
    <w:p>
      <w:pPr>
        <w:numPr>
          <w:ilvl w:val="0"/>
          <w:numId w:val="1003"/>
        </w:numPr>
        <w:pStyle w:val="Compact"/>
      </w:pPr>
      <w:r>
        <w:rPr>
          <w:bCs/>
          <w:b/>
        </w:rPr>
        <w:t xml:space="preserve">Energy Intensity (kWh/unit):</w:t>
      </w:r>
      <w:r>
        <w:t xml:space="preserve"> </w:t>
      </w:r>
      <w:r>
        <w:t xml:space="preserve">`yjjemspfws` (e.g., assumed 5 kWh/unit for calculation)</w:t>
      </w:r>
    </w:p>
    <w:p>
      <w:pPr>
        <w:numPr>
          <w:ilvl w:val="0"/>
          <w:numId w:val="1003"/>
        </w:numPr>
        <w:pStyle w:val="Compact"/>
      </w:pPr>
      <w:r>
        <w:rPr>
          <w:bCs/>
          <w:b/>
        </w:rPr>
        <w:t xml:space="preserve">Direct Emissions (Scope 1):</w:t>
      </w:r>
      <w:r>
        <w:t xml:space="preserve"> </w:t>
      </w:r>
      <w:r>
        <w:t xml:space="preserve">This typically includes emissions from company-owned or controlled sources such as fuel combustion in boilers, furnaces, and vehicles, or process emissions. Given the "factory_gate" boundary and without specific operational fuel consumption data, direct process emissions for manufacturing are assumed to be negligible for this product\'s assembly stage, focusing on purchased electricity for the main factory impact.</w:t>
      </w:r>
    </w:p>
    <w:p>
      <w:pPr>
        <w:numPr>
          <w:ilvl w:val="0"/>
          <w:numId w:val="1003"/>
        </w:numPr>
        <w:pStyle w:val="Compact"/>
      </w:pPr>
      <w:r>
        <w:rPr>
          <w:bCs/>
          <w:b/>
        </w:rPr>
        <w:t xml:space="preserve">Indirect Emissions from Purchased Electricity (Scope 2):</w:t>
      </w:r>
      <w:r>
        <w:t xml:space="preserve"> </w:t>
      </w:r>
      <w:r>
        <w:t xml:space="preserve">This accounts for greenhouse gas emissions from the generation of purchased electricity consumed by spdnvphjgy\'s production facility.</w:t>
      </w:r>
    </w:p>
    <w:bookmarkEnd w:id="25"/>
    <w:bookmarkStart w:id="26" w:name="X81efe58a8e2dfd9dc6968cd29e54db3217579c4"/>
    <w:p>
      <w:pPr>
        <w:pStyle w:val="Heading3"/>
      </w:pPr>
      <w:r>
        <w:t xml:space="preserve">Transportation (Scope 3 - Upstream: Category 4 - Transportation and Distribution; Downstream: Category 9 - Downstream Transportation and Distribution)</w:t>
      </w:r>
    </w:p>
    <w:p>
      <w:pPr>
        <w:pStyle w:val="FirstParagraph"/>
      </w:pPr>
      <w:r>
        <w:t xml:space="preserve">Logistics data are incorporated for both inbound materials (upstream) and outbound finished products (downstream up to the factory gate boundary, and beyond for use phase context).</w:t>
      </w:r>
    </w:p>
    <w:p>
      <w:pPr>
        <w:numPr>
          <w:ilvl w:val="0"/>
          <w:numId w:val="1004"/>
        </w:numPr>
        <w:pStyle w:val="Compact"/>
      </w:pPr>
      <w:r>
        <w:rPr>
          <w:bCs/>
          <w:b/>
        </w:rPr>
        <w:t xml:space="preserve">Transport Mode:</w:t>
      </w:r>
      <w:r>
        <w:t xml:space="preserve"> </w:t>
      </w:r>
      <w:r>
        <w:t xml:space="preserve">`Select Mode` (e.g., assumed Ocean Freight for long-haul, Road Freight for local distribution)</w:t>
      </w:r>
    </w:p>
    <w:p>
      <w:pPr>
        <w:numPr>
          <w:ilvl w:val="0"/>
          <w:numId w:val="1004"/>
        </w:numPr>
        <w:pStyle w:val="Compact"/>
      </w:pPr>
      <w:r>
        <w:rPr>
          <w:bCs/>
          <w:b/>
        </w:rPr>
        <w:t xml:space="preserve">Transport Distance:</w:t>
      </w:r>
      <w:r>
        <w:t xml:space="preserve"> </w:t>
      </w:r>
      <w:r>
        <w:t xml:space="preserve">`qomrlwzzqm` (e.g., assumed 10,000 km for ocean, 500 km for road for calculation)</w:t>
      </w:r>
    </w:p>
    <w:p>
      <w:pPr>
        <w:numPr>
          <w:ilvl w:val="0"/>
          <w:numId w:val="1004"/>
        </w:numPr>
        <w:pStyle w:val="Compact"/>
      </w:pPr>
      <w:r>
        <w:rPr>
          <w:bCs/>
          <w:b/>
        </w:rPr>
        <w:t xml:space="preserve">Last-Mile Delivery Channel:</w:t>
      </w:r>
      <w:r>
        <w:t xml:space="preserve"> </w:t>
      </w:r>
      <w:r>
        <w:t xml:space="preserve">`Delivery Type` (e.g., assumed Parcel Delivery Van for calculation)</w:t>
      </w:r>
    </w:p>
    <w:bookmarkEnd w:id="26"/>
    <w:bookmarkStart w:id="27" w:name="X4f99137a79f604550a9361a0a5033eb0750c777"/>
    <w:p>
      <w:pPr>
        <w:pStyle w:val="Heading3"/>
      </w:pPr>
      <w:r>
        <w:t xml:space="preserve">Use Phase (Scope 3 - Downstream: Category 11 - Use of Sold Products)</w:t>
      </w:r>
    </w:p>
    <w:p>
      <w:pPr>
        <w:pStyle w:val="FirstParagraph"/>
      </w:pPr>
      <w:r>
        <w:t xml:space="preserve">This phase covers the emissions arising from the product\'s energy consumption during its active lifespan.</w:t>
      </w:r>
    </w:p>
    <w:p>
      <w:pPr>
        <w:numPr>
          <w:ilvl w:val="0"/>
          <w:numId w:val="1005"/>
        </w:numPr>
        <w:pStyle w:val="Compact"/>
      </w:pPr>
      <w:r>
        <w:rPr>
          <w:bCs/>
          <w:b/>
        </w:rPr>
        <w:t xml:space="preserve">Product Lifespan:</w:t>
      </w:r>
      <w:r>
        <w:t xml:space="preserve"> </w:t>
      </w:r>
      <w:r>
        <w:t xml:space="preserve">`pseznpuedq` (e.g., assumed 5 years for calculation)</w:t>
      </w:r>
    </w:p>
    <w:p>
      <w:pPr>
        <w:numPr>
          <w:ilvl w:val="0"/>
          <w:numId w:val="1005"/>
        </w:numPr>
        <w:pStyle w:val="Compact"/>
      </w:pPr>
      <w:r>
        <w:rPr>
          <w:bCs/>
          <w:b/>
        </w:rPr>
        <w:t xml:space="preserve">Energy Consumption in Use:</w:t>
      </w:r>
      <w:r>
        <w:t xml:space="preserve"> </w:t>
      </w:r>
      <w:r>
        <w:t xml:space="preserve">`truprtskje` (e.g., assumed 10 kWh/year for calculation)</w:t>
      </w:r>
    </w:p>
    <w:bookmarkEnd w:id="27"/>
    <w:bookmarkStart w:id="28" w:name="X52706737acf476650e49ee4e39a40f4db0b222e"/>
    <w:p>
      <w:pPr>
        <w:pStyle w:val="Heading3"/>
      </w:pPr>
      <w:r>
        <w:t xml:space="preserve">End-of-Life (EoL) Scenarios (Scope 3 - Downstream: Category 12 - End-of-Life Treatment of Sold Products)</w:t>
      </w:r>
    </w:p>
    <w:p>
      <w:pPr>
        <w:pStyle w:val="FirstParagraph"/>
      </w:pPr>
      <w:r>
        <w:t xml:space="preserve">EoL scenarios reflect circular economy impacts based on recyclability and take-back programs.</w:t>
      </w:r>
    </w:p>
    <w:p>
      <w:pPr>
        <w:numPr>
          <w:ilvl w:val="0"/>
          <w:numId w:val="1006"/>
        </w:numPr>
        <w:pStyle w:val="Compact"/>
      </w:pPr>
      <w:r>
        <w:rPr>
          <w:bCs/>
          <w:b/>
        </w:rPr>
        <w:t xml:space="preserve">Recyclability Percentage:</w:t>
      </w:r>
      <w:r>
        <w:t xml:space="preserve"> </w:t>
      </w:r>
      <w:r>
        <w:t xml:space="preserve">`yroknnmvwm` (e.g., assumed 80% for calculation)</w:t>
      </w:r>
    </w:p>
    <w:p>
      <w:pPr>
        <w:numPr>
          <w:ilvl w:val="0"/>
          <w:numId w:val="1006"/>
        </w:numPr>
        <w:pStyle w:val="Compact"/>
      </w:pPr>
      <w:r>
        <w:rPr>
          <w:bCs/>
          <w:b/>
        </w:rPr>
        <w:t xml:space="preserve">Circular/Take-back Programs:</w:t>
      </w:r>
      <w:r>
        <w:t xml:space="preserve"> </w:t>
      </w:r>
      <w:r>
        <w:t xml:space="preserve">`hvlqqijmef` (e.g., assumed company-managed take-back program for recycling)</w:t>
      </w:r>
    </w:p>
    <w:p>
      <w:r>
        <w:pict>
          <v:rect style="width:0;height:1.5pt" o:hralign="center" o:hrstd="t" o:hr="t"/>
        </w:pict>
      </w:r>
    </w:p>
    <w:bookmarkEnd w:id="28"/>
    <w:bookmarkEnd w:id="29"/>
    <w:bookmarkStart w:id="41" w:name="Xb404f6bea4a0013006ec7a9103609d9ea6643c1"/>
    <w:p>
      <w:pPr>
        <w:pStyle w:val="Heading2"/>
      </w:pPr>
      <w:r>
        <w:t xml:space="preserve">4. Calculate Emissions (Activity * Emission Factor = CO2e)</w:t>
      </w:r>
    </w:p>
    <w:p>
      <w:pPr>
        <w:pStyle w:val="FirstParagraph"/>
      </w:pPr>
      <w:r>
        <w:t xml:space="preserve">This section outlines the calculation of CO2e emissions for each lifecycle stage, categorised according to the GHG Protocol. Industry-standard emission factors (e.g., from Ecoinvent/DEFRA) are used, with specific values noted where applicable. For calculations, illustrative numerical values are assumed for the placeholders as explained in Section 3.</w:t>
      </w:r>
    </w:p>
    <w:bookmarkStart w:id="30" w:name="scope-1-emissions-direct-emissions"/>
    <w:p>
      <w:pPr>
        <w:pStyle w:val="Heading3"/>
      </w:pPr>
      <w:r>
        <w:t xml:space="preserve">Scope 1 Emissions (Direct Emissions)</w:t>
      </w:r>
    </w:p>
    <w:p>
      <w:pPr>
        <w:pStyle w:val="FirstParagraph"/>
      </w:pPr>
      <w:r>
        <w:t xml:space="preserve">For a "factory_gate" system boundary and without specific data on direct fuel combustion or fugitive emissions from spdnvphjgy\'s operations, Scope 1 emissions are assumed to be negligible for the manufacturing of iivjhlpqno. These would typically include emissions from company-owned vehicles or on-site fossil fuel consumption.</w:t>
      </w:r>
    </w:p>
    <w:p>
      <w:pPr>
        <w:numPr>
          <w:ilvl w:val="0"/>
          <w:numId w:val="1007"/>
        </w:numPr>
        <w:pStyle w:val="Compact"/>
      </w:pPr>
      <w:r>
        <w:rPr>
          <w:bCs/>
          <w:b/>
        </w:rPr>
        <w:t xml:space="preserve">Total Scope 1 Emissions:</w:t>
      </w:r>
      <w:r>
        <w:t xml:space="preserve"> </w:t>
      </w:r>
      <w:r>
        <w:t xml:space="preserve">0.00 kg CO2e</w:t>
      </w:r>
    </w:p>
    <w:bookmarkEnd w:id="30"/>
    <w:bookmarkStart w:id="31" w:name="X6977f3fa422f6765b2c2cda913de286a6141650"/>
    <w:p>
      <w:pPr>
        <w:pStyle w:val="Heading3"/>
      </w:pPr>
      <w:r>
        <w:t xml:space="preserve">Scope 2 Emissions (Indirect Emissions from Purchased Electricity)</w:t>
      </w:r>
    </w:p>
    <w:p>
      <w:pPr>
        <w:pStyle w:val="FirstParagraph"/>
      </w:pPr>
      <w:r>
        <w:t xml:space="preserve">Emissions from purchased electricity for the production of iivjhlpqno in China.</w:t>
      </w:r>
    </w:p>
    <w:p>
      <w:pPr>
        <w:numPr>
          <w:ilvl w:val="0"/>
          <w:numId w:val="1008"/>
        </w:numPr>
        <w:pStyle w:val="Compact"/>
      </w:pPr>
      <w:r>
        <w:rPr>
          <w:bCs/>
          <w:b/>
        </w:rPr>
        <w:t xml:space="preserve">Energy Intensity:</w:t>
      </w:r>
      <w:r>
        <w:t xml:space="preserve"> </w:t>
      </w:r>
      <w:r>
        <w:t xml:space="preserve">5 kWh/unit (assumed from `yjjemspfws`)</w:t>
      </w:r>
    </w:p>
    <w:p>
      <w:pPr>
        <w:numPr>
          <w:ilvl w:val="0"/>
          <w:numId w:val="1008"/>
        </w:numPr>
        <w:pStyle w:val="Compact"/>
      </w:pPr>
      <w:r>
        <w:rPr>
          <w:bCs/>
          <w:b/>
        </w:rPr>
        <w:t xml:space="preserve">Renewable Energy Usage:</w:t>
      </w:r>
      <w:r>
        <w:t xml:space="preserve"> </w:t>
      </w:r>
      <w:r>
        <w:t xml:space="preserve">70% (assumed from `duvsgodudp`)</w:t>
      </w:r>
    </w:p>
    <w:p>
      <w:pPr>
        <w:numPr>
          <w:ilvl w:val="0"/>
          <w:numId w:val="1008"/>
        </w:numPr>
        <w:pStyle w:val="Compact"/>
      </w:pPr>
      <w:r>
        <w:rPr>
          <w:bCs/>
          <w:b/>
        </w:rPr>
        <w:t xml:space="preserve">Non-renewable Electricity Consumption:</w:t>
      </w:r>
      <w:r>
        <w:t xml:space="preserve"> </w:t>
      </w:r>
      <w:r>
        <w:t xml:space="preserve">5 kWh/unit * (1 - 0.70) = 1.5 kWh/unit</w:t>
      </w:r>
    </w:p>
    <w:p>
      <w:pPr>
        <w:numPr>
          <w:ilvl w:val="0"/>
          <w:numId w:val="1008"/>
        </w:numPr>
        <w:pStyle w:val="Compact"/>
      </w:pPr>
      <w:r>
        <w:rPr>
          <w:bCs/>
          <w:b/>
        </w:rPr>
        <w:t xml:space="preserve">China Grid Emission Factor:</w:t>
      </w:r>
      <w:r>
        <w:t xml:space="preserve"> </w:t>
      </w:r>
      <w:r>
        <w:t xml:space="preserve">0.577 kg CO2e/kWh (Based on China\'s electricity grid average, 577 kg CO2e/MWh which is 0.577 kg CO2e/kWh. Other sources indicate ranges from 0.8 to 1.2 kg CO2e/kWh for some provinces in 2020/2022, with a national average in decline).</w:t>
      </w:r>
    </w:p>
    <w:p>
      <w:pPr>
        <w:numPr>
          <w:ilvl w:val="0"/>
          <w:numId w:val="1008"/>
        </w:numPr>
        <w:pStyle w:val="Compact"/>
      </w:pPr>
      <w:r>
        <w:rPr>
          <w:bCs/>
          <w:b/>
        </w:rPr>
        <w:t xml:space="preserve">Calculation:</w:t>
      </w:r>
      <w:r>
        <w:t xml:space="preserve"> </w:t>
      </w:r>
      <w:r>
        <w:t xml:space="preserve">1.5 kWh/unit * 0.577 kg CO2e/kWh = 0.8655 kg CO2e/unit</w:t>
      </w:r>
    </w:p>
    <w:p>
      <w:pPr>
        <w:numPr>
          <w:ilvl w:val="0"/>
          <w:numId w:val="1008"/>
        </w:numPr>
        <w:pStyle w:val="Compact"/>
      </w:pPr>
      <w:r>
        <w:rPr>
          <w:bCs/>
          <w:b/>
        </w:rPr>
        <w:t xml:space="preserve">Total Scope 2 Emissions:</w:t>
      </w:r>
      <w:r>
        <w:t xml:space="preserve"> </w:t>
      </w:r>
      <w:r>
        <w:rPr>
          <w:bCs/>
          <w:b/>
        </w:rPr>
        <w:t xml:space="preserve">0.87 kg CO2e</w:t>
      </w:r>
      <w:r>
        <w:t xml:space="preserve"> </w:t>
      </w:r>
      <w:r>
        <w:t xml:space="preserve">(rounded)</w:t>
      </w:r>
    </w:p>
    <w:bookmarkEnd w:id="31"/>
    <w:bookmarkStart w:id="37" w:name="scope-3-emissions-value-chain-emissions"/>
    <w:p>
      <w:pPr>
        <w:pStyle w:val="Heading3"/>
      </w:pPr>
      <w:r>
        <w:t xml:space="preserve">Scope 3 Emissions (Value Chain Emissions)</w:t>
      </w:r>
    </w:p>
    <w:p>
      <w:pPr>
        <w:pStyle w:val="FirstParagraph"/>
      </w:pPr>
      <w:r>
        <w:t xml:space="preserve">This category is critical for achieving comprehensive PCF analysis, with a target of 95% coverage.</w:t>
      </w:r>
    </w:p>
    <w:bookmarkStart w:id="32" w:name="Xab9729a0caae076ca89f2f71668734f92723cf2"/>
    <w:p>
      <w:pPr>
        <w:pStyle w:val="Heading4"/>
      </w:pPr>
      <w:r>
        <w:t xml:space="preserve">Category 1: Purchased Goods and Services (Materials)</w:t>
      </w:r>
    </w:p>
    <w:p>
      <w:pPr>
        <w:pStyle w:val="FirstParagraph"/>
      </w:pPr>
      <w:r>
        <w:t xml:space="preserve">Based on the illustrative Bill of Materials (BOM) in Section 3.</w:t>
      </w:r>
    </w:p>
    <w:p>
      <w:pPr>
        <w:numPr>
          <w:ilvl w:val="0"/>
          <w:numId w:val="1009"/>
        </w:numPr>
        <w:pStyle w:val="Compact"/>
      </w:pPr>
      <w:r>
        <w:rPr>
          <w:bCs/>
          <w:b/>
        </w:rPr>
        <w:t xml:space="preserve">Total Material Carbon Impact:</w:t>
      </w:r>
      <w:r>
        <w:t xml:space="preserve"> </w:t>
      </w:r>
      <w:r>
        <w:rPr>
          <w:bCs/>
          <w:b/>
        </w:rPr>
        <w:t xml:space="preserve">9.11 kg CO2e</w:t>
      </w:r>
    </w:p>
    <w:bookmarkEnd w:id="32"/>
    <w:bookmarkStart w:id="33" w:name="X6669a43143349c25ec93e775eebde43de53a73c"/>
    <w:p>
      <w:pPr>
        <w:pStyle w:val="Heading4"/>
      </w:pPr>
      <w:r>
        <w:t xml:space="preserve">Category 4: Upstream Transportation and Distribution</w:t>
      </w:r>
    </w:p>
    <w:p>
      <w:pPr>
        <w:pStyle w:val="FirstParagraph"/>
      </w:pPr>
      <w:r>
        <w:t xml:space="preserve">Transport of materials and components to the spdnvphjgy factory in China.</w:t>
      </w:r>
    </w:p>
    <w:p>
      <w:pPr>
        <w:numPr>
          <w:ilvl w:val="0"/>
          <w:numId w:val="1010"/>
        </w:numPr>
        <w:pStyle w:val="Compact"/>
      </w:pPr>
      <w:r>
        <w:rPr>
          <w:bCs/>
          <w:b/>
        </w:rPr>
        <w:t xml:space="preserve">Assumed Product Weight (for transport allocation):</w:t>
      </w:r>
      <w:r>
        <w:t xml:space="preserve"> </w:t>
      </w:r>
      <w:r>
        <w:t xml:space="preserve">Let\'s assume the finished product weighs 1.0 kg (based on BOM total roughly 1.25 kg, but let\'s take a rounded average for simplicity for the *final product* for downstream, and assume raw materials are also roughly 1.25kg, so total material weight is roughly 1.25kg for calculation purpose).</w:t>
      </w:r>
    </w:p>
    <w:p>
      <w:pPr>
        <w:numPr>
          <w:ilvl w:val="0"/>
          <w:numId w:val="1010"/>
        </w:numPr>
        <w:pStyle w:val="Compact"/>
      </w:pPr>
      <w:r>
        <w:rPr>
          <w:bCs/>
          <w:b/>
        </w:rPr>
        <w:t xml:space="preserve">Transport Mode (Long-haul):</w:t>
      </w:r>
      <w:r>
        <w:t xml:space="preserve"> </w:t>
      </w:r>
      <w:r>
        <w:t xml:space="preserve">Ocean Freight (assumed `Select Mode`)</w:t>
      </w:r>
    </w:p>
    <w:p>
      <w:pPr>
        <w:numPr>
          <w:ilvl w:val="1"/>
          <w:numId w:val="1011"/>
        </w:numPr>
        <w:pStyle w:val="Compact"/>
      </w:pPr>
      <w:r>
        <w:rPr>
          <w:bCs/>
          <w:b/>
        </w:rPr>
        <w:t xml:space="preserve">Distance:</w:t>
      </w:r>
      <w:r>
        <w:t xml:space="preserve"> </w:t>
      </w:r>
      <w:r>
        <w:t xml:space="preserve">10,000 km (assumed from `qomrlwzzqm`)</w:t>
      </w:r>
    </w:p>
    <w:p>
      <w:pPr>
        <w:numPr>
          <w:ilvl w:val="1"/>
          <w:numId w:val="1011"/>
        </w:numPr>
        <w:pStyle w:val="Compact"/>
      </w:pPr>
      <w:r>
        <w:rPr>
          <w:bCs/>
          <w:b/>
        </w:rPr>
        <w:t xml:space="preserve">Emission Factor (Ocean Freight - container ship):</w:t>
      </w:r>
      <w:r>
        <w:t xml:space="preserve"> </w:t>
      </w:r>
      <w:r>
        <w:t xml:space="preserve">0.016 kg CO2e/tonne-km</w:t>
      </w:r>
    </w:p>
    <w:p>
      <w:pPr>
        <w:numPr>
          <w:ilvl w:val="1"/>
          <w:numId w:val="1011"/>
        </w:numPr>
        <w:pStyle w:val="Compact"/>
      </w:pPr>
      <w:r>
        <w:rPr>
          <w:bCs/>
          <w:b/>
        </w:rPr>
        <w:t xml:space="preserve">Calculation:</w:t>
      </w:r>
      <w:r>
        <w:t xml:space="preserve"> </w:t>
      </w:r>
      <w:r>
        <w:t xml:space="preserve">(1.25 kg / 1000 kg/tonne) * 10,000 km * 0.016 kg CO2e/tonne-km = 0.20 kg CO2e</w:t>
      </w:r>
    </w:p>
    <w:p>
      <w:pPr>
        <w:numPr>
          <w:ilvl w:val="0"/>
          <w:numId w:val="1010"/>
        </w:numPr>
        <w:pStyle w:val="Compact"/>
      </w:pPr>
      <w:r>
        <w:rPr>
          <w:bCs/>
          <w:b/>
        </w:rPr>
        <w:t xml:space="preserve">Transport Mode (Local/Last-mile Upstream):</w:t>
      </w:r>
      <w:r>
        <w:t xml:space="preserve"> </w:t>
      </w:r>
      <w:r>
        <w:t xml:space="preserve">Road Freight (assumed for local delivery in China)</w:t>
      </w:r>
    </w:p>
    <w:p>
      <w:pPr>
        <w:numPr>
          <w:ilvl w:val="1"/>
          <w:numId w:val="1012"/>
        </w:numPr>
        <w:pStyle w:val="Compact"/>
      </w:pPr>
      <w:r>
        <w:rPr>
          <w:bCs/>
          <w:b/>
        </w:rPr>
        <w:t xml:space="preserve">Distance:</w:t>
      </w:r>
      <w:r>
        <w:t xml:space="preserve"> </w:t>
      </w:r>
      <w:r>
        <w:t xml:space="preserve">200 km (assumed, typical for regional transport)</w:t>
      </w:r>
    </w:p>
    <w:p>
      <w:pPr>
        <w:numPr>
          <w:ilvl w:val="1"/>
          <w:numId w:val="1012"/>
        </w:numPr>
        <w:pStyle w:val="Compact"/>
      </w:pPr>
      <w:r>
        <w:rPr>
          <w:bCs/>
          <w:b/>
        </w:rPr>
        <w:t xml:space="preserve">Emission Factor (Road Freight - average light commercial vehicle):</w:t>
      </w:r>
      <w:r>
        <w:t xml:space="preserve"> </w:t>
      </w:r>
      <w:r>
        <w:t xml:space="preserve">0.069 kg CO2e/tonne-km (based on GLEC, for road freight dray)</w:t>
      </w:r>
    </w:p>
    <w:p>
      <w:pPr>
        <w:numPr>
          <w:ilvl w:val="1"/>
          <w:numId w:val="1012"/>
        </w:numPr>
        <w:pStyle w:val="Compact"/>
      </w:pPr>
      <w:r>
        <w:rPr>
          <w:bCs/>
          <w:b/>
        </w:rPr>
        <w:t xml:space="preserve">Calculation:</w:t>
      </w:r>
      <w:r>
        <w:t xml:space="preserve"> </w:t>
      </w:r>
      <w:r>
        <w:t xml:space="preserve">(1.25 kg / 1000 kg/tonne) * 200 km * 0.069 kg CO2e/tonne-km = 0.017 kg CO2e</w:t>
      </w:r>
    </w:p>
    <w:p>
      <w:pPr>
        <w:numPr>
          <w:ilvl w:val="0"/>
          <w:numId w:val="1010"/>
        </w:numPr>
        <w:pStyle w:val="Compact"/>
      </w:pPr>
      <w:r>
        <w:rPr>
          <w:bCs/>
          <w:b/>
        </w:rPr>
        <w:t xml:space="preserve">Total Upstream Transportation:</w:t>
      </w:r>
      <w:r>
        <w:t xml:space="preserve"> </w:t>
      </w:r>
      <w:r>
        <w:rPr>
          <w:bCs/>
          <w:b/>
        </w:rPr>
        <w:t xml:space="preserve">0.22 kg CO2e</w:t>
      </w:r>
      <w:r>
        <w:t xml:space="preserve"> </w:t>
      </w:r>
      <w:r>
        <w:t xml:space="preserve">(0.20 + 0.017)</w:t>
      </w:r>
    </w:p>
    <w:bookmarkEnd w:id="33"/>
    <w:bookmarkStart w:id="34" w:name="X25a0837e2ca53a982bfb6f58a50970139f4f25f"/>
    <w:p>
      <w:pPr>
        <w:pStyle w:val="Heading4"/>
      </w:pPr>
      <w:r>
        <w:t xml:space="preserve">Category 9: Downstream Transportation and Distribution</w:t>
      </w:r>
    </w:p>
    <w:p>
      <w:pPr>
        <w:pStyle w:val="FirstParagraph"/>
      </w:pPr>
      <w:r>
        <w:t xml:space="preserve">Transport of finished product from factory gate to distribution centers and last-mile delivery to customers (Europe Focused).</w:t>
      </w:r>
    </w:p>
    <w:p>
      <w:pPr>
        <w:numPr>
          <w:ilvl w:val="0"/>
          <w:numId w:val="1013"/>
        </w:numPr>
        <w:pStyle w:val="Compact"/>
      </w:pPr>
      <w:r>
        <w:rPr>
          <w:bCs/>
          <w:b/>
        </w:rPr>
        <w:t xml:space="preserve">Product Weight:</w:t>
      </w:r>
      <w:r>
        <w:t xml:space="preserve"> </w:t>
      </w:r>
      <w:r>
        <w:t xml:space="preserve">1.0 kg (assumed for the finished unit)</w:t>
      </w:r>
    </w:p>
    <w:p>
      <w:pPr>
        <w:numPr>
          <w:ilvl w:val="0"/>
          <w:numId w:val="1013"/>
        </w:numPr>
        <w:pStyle w:val="Compact"/>
      </w:pPr>
      <w:r>
        <w:rPr>
          <w:bCs/>
          <w:b/>
        </w:rPr>
        <w:t xml:space="preserve">Transport Mode (Long-haul):</w:t>
      </w:r>
      <w:r>
        <w:t xml:space="preserve"> </w:t>
      </w:r>
      <w:r>
        <w:t xml:space="preserve">Ocean Freight (assumed `Select Mode` for international shipping to Europe)</w:t>
      </w:r>
    </w:p>
    <w:p>
      <w:pPr>
        <w:numPr>
          <w:ilvl w:val="1"/>
          <w:numId w:val="1014"/>
        </w:numPr>
        <w:pStyle w:val="Compact"/>
      </w:pPr>
      <w:r>
        <w:rPr>
          <w:bCs/>
          <w:b/>
        </w:rPr>
        <w:t xml:space="preserve">Distance:</w:t>
      </w:r>
      <w:r>
        <w:t xml:space="preserve"> </w:t>
      </w:r>
      <w:r>
        <w:t xml:space="preserve">15,000 km (assumed for China to Europe)</w:t>
      </w:r>
    </w:p>
    <w:p>
      <w:pPr>
        <w:numPr>
          <w:ilvl w:val="1"/>
          <w:numId w:val="1014"/>
        </w:numPr>
        <w:pStyle w:val="Compact"/>
      </w:pPr>
      <w:r>
        <w:rPr>
          <w:bCs/>
          <w:b/>
        </w:rPr>
        <w:t xml:space="preserve">Emission Factor (Ocean Freight - container ship):</w:t>
      </w:r>
      <w:r>
        <w:t xml:space="preserve"> </w:t>
      </w:r>
      <w:r>
        <w:t xml:space="preserve">0.016 kg CO2e/tonne-km</w:t>
      </w:r>
    </w:p>
    <w:p>
      <w:pPr>
        <w:numPr>
          <w:ilvl w:val="1"/>
          <w:numId w:val="1014"/>
        </w:numPr>
        <w:pStyle w:val="Compact"/>
      </w:pPr>
      <w:r>
        <w:rPr>
          <w:bCs/>
          <w:b/>
        </w:rPr>
        <w:t xml:space="preserve">Calculation:</w:t>
      </w:r>
      <w:r>
        <w:t xml:space="preserve"> </w:t>
      </w:r>
      <w:r>
        <w:t xml:space="preserve">(1.0 kg / 1000 kg/tonne) * 15,000 km * 0.016 kg CO2e/tonne-km = 0.24 kg CO2e</w:t>
      </w:r>
    </w:p>
    <w:p>
      <w:pPr>
        <w:numPr>
          <w:ilvl w:val="0"/>
          <w:numId w:val="1013"/>
        </w:numPr>
        <w:pStyle w:val="Compact"/>
      </w:pPr>
      <w:r>
        <w:rPr>
          <w:bCs/>
          <w:b/>
        </w:rPr>
        <w:t xml:space="preserve">Last-Mile Delivery:</w:t>
      </w:r>
      <w:r>
        <w:t xml:space="preserve"> </w:t>
      </w:r>
      <w:r>
        <w:t xml:space="preserve">Road Freight (Parcel Delivery Van - assumed `Delivery Type` in Europe)</w:t>
      </w:r>
    </w:p>
    <w:p>
      <w:pPr>
        <w:numPr>
          <w:ilvl w:val="1"/>
          <w:numId w:val="1015"/>
        </w:numPr>
        <w:pStyle w:val="Compact"/>
      </w:pPr>
      <w:r>
        <w:rPr>
          <w:bCs/>
          <w:b/>
        </w:rPr>
        <w:t xml:space="preserve">Distance:</w:t>
      </w:r>
      <w:r>
        <w:t xml:space="preserve"> </w:t>
      </w:r>
      <w:r>
        <w:t xml:space="preserve">500 km (assumed for European distribution from `qomrlwzzqm`)</w:t>
      </w:r>
    </w:p>
    <w:p>
      <w:pPr>
        <w:numPr>
          <w:ilvl w:val="1"/>
          <w:numId w:val="1015"/>
        </w:numPr>
        <w:pStyle w:val="Compact"/>
      </w:pPr>
      <w:r>
        <w:rPr>
          <w:bCs/>
          <w:b/>
        </w:rPr>
        <w:t xml:space="preserve">Emission Factor (Road Freight - light commercial vehicle):</w:t>
      </w:r>
      <w:r>
        <w:t xml:space="preserve"> </w:t>
      </w:r>
      <w:r>
        <w:t xml:space="preserve">0.243 kg CO2e/tonne-km (e.g., based on general road transport)</w:t>
      </w:r>
    </w:p>
    <w:p>
      <w:pPr>
        <w:numPr>
          <w:ilvl w:val="1"/>
          <w:numId w:val="1015"/>
        </w:numPr>
        <w:pStyle w:val="Compact"/>
      </w:pPr>
      <w:r>
        <w:rPr>
          <w:bCs/>
          <w:b/>
        </w:rPr>
        <w:t xml:space="preserve">Calculation:</w:t>
      </w:r>
      <w:r>
        <w:t xml:space="preserve"> </w:t>
      </w:r>
      <w:r>
        <w:t xml:space="preserve">(1.0 kg / 1000 kg/tonne) * 500 km * 0.243 kg CO2e/tonne-km = 0.12 kg CO2e</w:t>
      </w:r>
    </w:p>
    <w:p>
      <w:pPr>
        <w:numPr>
          <w:ilvl w:val="0"/>
          <w:numId w:val="1013"/>
        </w:numPr>
        <w:pStyle w:val="Compact"/>
      </w:pPr>
      <w:r>
        <w:rPr>
          <w:bCs/>
          <w:b/>
        </w:rPr>
        <w:t xml:space="preserve">Total Downstream Transportation:</w:t>
      </w:r>
      <w:r>
        <w:t xml:space="preserve"> </w:t>
      </w:r>
      <w:r>
        <w:rPr>
          <w:bCs/>
          <w:b/>
        </w:rPr>
        <w:t xml:space="preserve">0.36 kg CO2e</w:t>
      </w:r>
      <w:r>
        <w:t xml:space="preserve"> </w:t>
      </w:r>
      <w:r>
        <w:t xml:space="preserve">(0.24 + 0.12)</w:t>
      </w:r>
    </w:p>
    <w:bookmarkEnd w:id="34"/>
    <w:bookmarkStart w:id="35" w:name="category-11-use-of-sold-products"/>
    <w:p>
      <w:pPr>
        <w:pStyle w:val="Heading4"/>
      </w:pPr>
      <w:r>
        <w:t xml:space="preserve">Category 11: Use of Sold Products</w:t>
      </w:r>
    </w:p>
    <w:p>
      <w:pPr>
        <w:pStyle w:val="FirstParagraph"/>
      </w:pPr>
      <w:r>
        <w:t xml:space="preserve">Emissions from product energy consumption during its lifespan.</w:t>
      </w:r>
    </w:p>
    <w:p>
      <w:pPr>
        <w:numPr>
          <w:ilvl w:val="0"/>
          <w:numId w:val="1016"/>
        </w:numPr>
        <w:pStyle w:val="Compact"/>
      </w:pPr>
      <w:r>
        <w:rPr>
          <w:bCs/>
          <w:b/>
        </w:rPr>
        <w:t xml:space="preserve">Product Lifespan:</w:t>
      </w:r>
      <w:r>
        <w:t xml:space="preserve"> </w:t>
      </w:r>
      <w:r>
        <w:t xml:space="preserve">5 years (assumed from `pseznpuedq`)</w:t>
      </w:r>
    </w:p>
    <w:p>
      <w:pPr>
        <w:numPr>
          <w:ilvl w:val="0"/>
          <w:numId w:val="1016"/>
        </w:numPr>
        <w:pStyle w:val="Compact"/>
      </w:pPr>
      <w:r>
        <w:rPr>
          <w:bCs/>
          <w:b/>
        </w:rPr>
        <w:t xml:space="preserve">Energy Consumption in Use:</w:t>
      </w:r>
      <w:r>
        <w:t xml:space="preserve"> </w:t>
      </w:r>
      <w:r>
        <w:t xml:space="preserve">10 kWh/year (assumed from `truprtskje`)</w:t>
      </w:r>
    </w:p>
    <w:p>
      <w:pPr>
        <w:numPr>
          <w:ilvl w:val="0"/>
          <w:numId w:val="1016"/>
        </w:numPr>
        <w:pStyle w:val="Compact"/>
      </w:pPr>
      <w:r>
        <w:rPr>
          <w:bCs/>
          <w:b/>
        </w:rPr>
        <w:t xml:space="preserve">Total Energy Consumption:</w:t>
      </w:r>
      <w:r>
        <w:t xml:space="preserve"> </w:t>
      </w:r>
      <w:r>
        <w:t xml:space="preserve">10 kWh/year * 5 years = 50 kWh</w:t>
      </w:r>
    </w:p>
    <w:p>
      <w:pPr>
        <w:numPr>
          <w:ilvl w:val="0"/>
          <w:numId w:val="1016"/>
        </w:numPr>
        <w:pStyle w:val="Compact"/>
      </w:pPr>
      <w:r>
        <w:rPr>
          <w:bCs/>
          <w:b/>
        </w:rPr>
        <w:t xml:space="preserve">European Average Grid Emission Factor:</w:t>
      </w:r>
      <w:r>
        <w:t xml:space="preserve"> </w:t>
      </w:r>
      <w:r>
        <w:t xml:space="preserve">0.181 kg CO2e/kWh (Based on the European Carbon Factor for 2024, 181 kg CO2/MWh, which is 0.181 kg CO2e/kWh. Other sources indicate a 2022 EU average of 255 gCO2/kWh, or 0.255 kg CO2e/kWh, and a decline in intensity in recent years).</w:t>
      </w:r>
    </w:p>
    <w:p>
      <w:pPr>
        <w:numPr>
          <w:ilvl w:val="0"/>
          <w:numId w:val="1016"/>
        </w:numPr>
        <w:pStyle w:val="Compact"/>
      </w:pPr>
      <w:r>
        <w:rPr>
          <w:bCs/>
          <w:b/>
        </w:rPr>
        <w:t xml:space="preserve">Calculation:</w:t>
      </w:r>
      <w:r>
        <w:t xml:space="preserve"> </w:t>
      </w:r>
      <w:r>
        <w:t xml:space="preserve">50 kWh * 0.181 kg CO2e/kWh = 9.05 kg CO2e</w:t>
      </w:r>
    </w:p>
    <w:p>
      <w:pPr>
        <w:numPr>
          <w:ilvl w:val="0"/>
          <w:numId w:val="1016"/>
        </w:numPr>
        <w:pStyle w:val="Compact"/>
      </w:pPr>
      <w:r>
        <w:rPr>
          <w:bCs/>
          <w:b/>
        </w:rPr>
        <w:t xml:space="preserve">Total Use Phase Emissions:</w:t>
      </w:r>
      <w:r>
        <w:t xml:space="preserve"> </w:t>
      </w:r>
      <w:r>
        <w:rPr>
          <w:bCs/>
          <w:b/>
        </w:rPr>
        <w:t xml:space="preserve">9.05 kg CO2e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w:t>
      </w:r>
    </w:p>
    <w:p>
      <w:pPr>
        <w:numPr>
          <w:ilvl w:val="0"/>
          <w:numId w:val="1017"/>
        </w:numPr>
        <w:pStyle w:val="Compact"/>
      </w:pPr>
      <w:r>
        <w:rPr>
          <w:bCs/>
          <w:b/>
        </w:rPr>
        <w:t xml:space="preserve">Product Weight:</w:t>
      </w:r>
      <w:r>
        <w:t xml:space="preserve"> </w:t>
      </w:r>
      <w:r>
        <w:t xml:space="preserve">1.0 kg (assumed)</w:t>
      </w:r>
    </w:p>
    <w:p>
      <w:pPr>
        <w:numPr>
          <w:ilvl w:val="0"/>
          <w:numId w:val="1017"/>
        </w:numPr>
        <w:pStyle w:val="Compact"/>
      </w:pPr>
      <w:r>
        <w:rPr>
          <w:bCs/>
          <w:b/>
        </w:rPr>
        <w:t xml:space="preserve">Recyclability Percentage:</w:t>
      </w:r>
      <w:r>
        <w:t xml:space="preserve"> </w:t>
      </w:r>
      <w:r>
        <w:t xml:space="preserve">80% (assumed from `yroknnmvwm`)</w:t>
      </w:r>
    </w:p>
    <w:p>
      <w:pPr>
        <w:numPr>
          <w:ilvl w:val="0"/>
          <w:numId w:val="1017"/>
        </w:numPr>
        <w:pStyle w:val="Compact"/>
      </w:pPr>
      <w:r>
        <w:rPr>
          <w:bCs/>
          <w:b/>
        </w:rPr>
        <w:t xml:space="preserve">Circular Programs:</w:t>
      </w:r>
      <w:r>
        <w:t xml:space="preserve"> </w:t>
      </w:r>
      <w:r>
        <w:t xml:space="preserve">Company-managed take-back program for recycling (`hvlqqijmef`)</w:t>
      </w:r>
    </w:p>
    <w:p>
      <w:pPr>
        <w:numPr>
          <w:ilvl w:val="0"/>
          <w:numId w:val="1017"/>
        </w:numPr>
        <w:pStyle w:val="Compact"/>
      </w:pPr>
      <w:r>
        <w:rPr>
          <w:bCs/>
          <w:b/>
        </w:rPr>
        <w:t xml:space="preserve">Recycled Portion:</w:t>
      </w:r>
      <w:r>
        <w:t xml:space="preserve"> </w:t>
      </w:r>
      <w:r>
        <w:t xml:space="preserve">1.0 kg * 0.80 = 0.8 kg</w:t>
      </w:r>
    </w:p>
    <w:p>
      <w:pPr>
        <w:numPr>
          <w:ilvl w:val="1"/>
          <w:numId w:val="1018"/>
        </w:numPr>
        <w:pStyle w:val="Compact"/>
      </w:pPr>
      <w:r>
        <w:rPr>
          <w:bCs/>
          <w:b/>
        </w:rPr>
        <w:t xml:space="preserve">Recycling Credit (Illustrative for plastics):</w:t>
      </w:r>
      <w:r>
        <w:t xml:space="preserve"> </w:t>
      </w:r>
      <w:r>
        <w:t xml:space="preserve">Recycling can have a lower carbon footprint than virgin material production. While some sources show direct recycling process emissions (e.g., 202 kg CO2e/tonne or 0.202 kg CO2e/kg for LDPE, or 0.00469 kg/kg for plastic waste recycling), the primary benefit comes from *avoided* virgin material production. EPA WARM models suggest net emission *reductions* for recycling (e.g., -0.81 MTCO2E/ton for mixed plastics). For this calculation, assuming a credit due to high recyclability and a take-back program. If we assume plastic, a credit of -1.0 kg CO2e/kg (illustrative, reflecting avoided virgin production).</w:t>
      </w:r>
    </w:p>
    <w:p>
      <w:pPr>
        <w:numPr>
          <w:ilvl w:val="1"/>
          <w:numId w:val="1018"/>
        </w:numPr>
        <w:pStyle w:val="Compact"/>
      </w:pPr>
      <w:r>
        <w:rPr>
          <w:bCs/>
          <w:b/>
        </w:rPr>
        <w:t xml:space="preserve">Calculation:</w:t>
      </w:r>
      <w:r>
        <w:t xml:space="preserve"> </w:t>
      </w:r>
      <w:r>
        <w:t xml:space="preserve">0.8 kg * (-1.0 kg CO2e/kg) = -0.80 kg CO2e</w:t>
      </w:r>
    </w:p>
    <w:p>
      <w:pPr>
        <w:numPr>
          <w:ilvl w:val="0"/>
          <w:numId w:val="1017"/>
        </w:numPr>
        <w:pStyle w:val="Compact"/>
      </w:pPr>
      <w:r>
        <w:rPr>
          <w:bCs/>
          <w:b/>
        </w:rPr>
        <w:t xml:space="preserve">Disposed Portion (Non-Recycled):</w:t>
      </w:r>
      <w:r>
        <w:t xml:space="preserve"> </w:t>
      </w:r>
      <w:r>
        <w:t xml:space="preserve">1.0 kg * 0.20 = 0.2 kg</w:t>
      </w:r>
    </w:p>
    <w:p>
      <w:pPr>
        <w:numPr>
          <w:ilvl w:val="1"/>
          <w:numId w:val="1019"/>
        </w:numPr>
        <w:pStyle w:val="Compact"/>
      </w:pPr>
      <w:r>
        <w:rPr>
          <w:bCs/>
          <w:b/>
        </w:rPr>
        <w:t xml:space="preserve">Disposal (Landfill) Emission Factor (Illustrative for plastics):</w:t>
      </w:r>
      <w:r>
        <w:t xml:space="preserve"> </w:t>
      </w:r>
      <w:r>
        <w:t xml:space="preserve">0.033 kg CO2e/kg (33 kg CO2e/tonne for plastic waste to landfill)</w:t>
      </w:r>
    </w:p>
    <w:p>
      <w:pPr>
        <w:numPr>
          <w:ilvl w:val="1"/>
          <w:numId w:val="1019"/>
        </w:numPr>
        <w:pStyle w:val="Compact"/>
      </w:pPr>
      <w:r>
        <w:rPr>
          <w:bCs/>
          <w:b/>
        </w:rPr>
        <w:t xml:space="preserve">Calculation:</w:t>
      </w:r>
      <w:r>
        <w:t xml:space="preserve"> </w:t>
      </w:r>
      <w:r>
        <w:t xml:space="preserve">0.2 kg * 0.033 kg CO2e/kg = 0.0066 kg CO2e</w:t>
      </w:r>
    </w:p>
    <w:p>
      <w:pPr>
        <w:numPr>
          <w:ilvl w:val="0"/>
          <w:numId w:val="1017"/>
        </w:numPr>
        <w:pStyle w:val="Compact"/>
      </w:pPr>
      <w:r>
        <w:rPr>
          <w:bCs/>
          <w:b/>
        </w:rPr>
        <w:t xml:space="preserve">Total End-of-Life Emissions:</w:t>
      </w:r>
      <w:r>
        <w:t xml:space="preserve"> </w:t>
      </w:r>
      <w:r>
        <w:rPr>
          <w:bCs/>
          <w:b/>
        </w:rPr>
        <w:t xml:space="preserve">-0.79 kg CO2e</w:t>
      </w:r>
      <w:r>
        <w:t xml:space="preserve"> </w:t>
      </w:r>
      <w:r>
        <w:t xml:space="preserve">(0.0066 - 0.80)</w: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CO2e (kg) per Functional 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production facility.</w:t>
            </w:r>
          </w:p>
        </w:tc>
      </w:tr>
      <w:tr>
        <w:tc>
          <w:tcPr/>
          <w:p>
            <w:pPr>
              <w:pStyle w:val="Compact"/>
              <w:jc w:val="left"/>
            </w:pPr>
            <w:r>
              <w:rPr>
                <w:bCs/>
                <w:b/>
              </w:rPr>
              <w:t xml:space="preserve">Scope 2: Purchased Electricity (Production)</w:t>
            </w:r>
          </w:p>
        </w:tc>
        <w:tc>
          <w:tcPr/>
          <w:p>
            <w:pPr>
              <w:pStyle w:val="Compact"/>
              <w:jc w:val="left"/>
            </w:pPr>
            <w:r>
              <w:t xml:space="preserve">0.87</w:t>
            </w:r>
          </w:p>
        </w:tc>
        <w:tc>
          <w:tcPr/>
          <w:p>
            <w:pPr>
              <w:pStyle w:val="Compact"/>
              <w:jc w:val="left"/>
            </w:pPr>
            <w:r>
              <w:t xml:space="preserve">Based on 5 kWh/unit, 70% renewable, China Grid EF 0.577 kgCO2e/kWh.</w:t>
            </w:r>
          </w:p>
        </w:tc>
      </w:tr>
      <w:tr>
        <w:tc>
          <w:tcPr>
            <w:gridSpan w:val="3"/>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9.11</w:t>
            </w:r>
          </w:p>
        </w:tc>
        <w:tc>
          <w:tcPr/>
          <w:p>
            <w:pPr>
              <w:pStyle w:val="Compact"/>
              <w:jc w:val="left"/>
            </w:pPr>
            <w:r>
              <w:t xml:space="preserve">Based on illustrative BOM data.</w:t>
            </w:r>
          </w:p>
        </w:tc>
      </w:tr>
      <w:tr>
        <w:tc>
          <w:tcPr/>
          <w:p>
            <w:pPr>
              <w:pStyle w:val="Compact"/>
              <w:jc w:val="left"/>
            </w:pPr>
            <w:r>
              <w:t xml:space="preserve">    Category 4: Upstream Transportation and Distribution</w:t>
            </w:r>
          </w:p>
        </w:tc>
        <w:tc>
          <w:tcPr/>
          <w:p>
            <w:pPr>
              <w:pStyle w:val="Compact"/>
              <w:jc w:val="left"/>
            </w:pPr>
            <w:r>
              <w:t xml:space="preserve">0.22</w:t>
            </w:r>
          </w:p>
        </w:tc>
        <w:tc>
          <w:tcPr/>
          <w:p>
            <w:pPr>
              <w:pStyle w:val="Compact"/>
              <w:jc w:val="left"/>
            </w:pPr>
            <w:r>
              <w:t xml:space="preserve">Ocean freight (China inbound) and local road transport.</w:t>
            </w:r>
          </w:p>
        </w:tc>
      </w:tr>
      <w:tr>
        <w:tc>
          <w:tcPr/>
          <w:p>
            <w:pPr>
              <w:pStyle w:val="Compact"/>
              <w:jc w:val="left"/>
            </w:pPr>
            <w:r>
              <w:t xml:space="preserve">    Category 9: Downstream Transportation and Distribution</w:t>
            </w:r>
          </w:p>
        </w:tc>
        <w:tc>
          <w:tcPr/>
          <w:p>
            <w:pPr>
              <w:pStyle w:val="Compact"/>
              <w:jc w:val="left"/>
            </w:pPr>
            <w:r>
              <w:t xml:space="preserve">0.36</w:t>
            </w:r>
          </w:p>
        </w:tc>
        <w:tc>
          <w:tcPr/>
          <w:p>
            <w:pPr>
              <w:pStyle w:val="Compact"/>
              <w:jc w:val="left"/>
            </w:pPr>
            <w:r>
              <w:t xml:space="preserve">Ocean freight (China to Europe) and European last-mile road transport.</w:t>
            </w:r>
          </w:p>
        </w:tc>
      </w:tr>
      <w:tr>
        <w:tc>
          <w:tcPr/>
          <w:p>
            <w:pPr>
              <w:pStyle w:val="Compact"/>
              <w:jc w:val="left"/>
            </w:pPr>
            <w:r>
              <w:t xml:space="preserve">    Category 11: Use of Sold Products</w:t>
            </w:r>
          </w:p>
        </w:tc>
        <w:tc>
          <w:tcPr/>
          <w:p>
            <w:pPr>
              <w:pStyle w:val="Compact"/>
              <w:jc w:val="left"/>
            </w:pPr>
            <w:r>
              <w:t xml:space="preserve">9.05</w:t>
            </w:r>
          </w:p>
        </w:tc>
        <w:tc>
          <w:tcPr/>
          <w:p>
            <w:pPr>
              <w:pStyle w:val="Compact"/>
              <w:jc w:val="left"/>
            </w:pPr>
            <w:r>
              <w:t xml:space="preserve">50 kWh over 5 years, EU Grid EF 0.181 kgCO2e/kWh.</w:t>
            </w:r>
          </w:p>
        </w:tc>
      </w:tr>
      <w:tr>
        <w:tc>
          <w:tcPr/>
          <w:p>
            <w:pPr>
              <w:pStyle w:val="Compact"/>
              <w:jc w:val="left"/>
            </w:pPr>
            <w:r>
              <w:t xml:space="preserve">    Category 12: End-of-Life Treatment of Sold Products</w:t>
            </w:r>
          </w:p>
        </w:tc>
        <w:tc>
          <w:tcPr/>
          <w:p>
            <w:pPr>
              <w:pStyle w:val="Compact"/>
              <w:jc w:val="left"/>
            </w:pPr>
            <w:r>
              <w:t xml:space="preserve">-0.79</w:t>
            </w:r>
          </w:p>
        </w:tc>
        <w:tc>
          <w:tcPr/>
          <w:p>
            <w:pPr>
              <w:pStyle w:val="Compact"/>
              <w:jc w:val="left"/>
            </w:pPr>
            <w:r>
              <w:t xml:space="preserve">80% recycled (credit), 20% landfilled.</w:t>
            </w:r>
          </w:p>
        </w:tc>
      </w:tr>
      <w:tr>
        <w:tc>
          <w:tcPr/>
          <w:p>
            <w:pPr>
              <w:pStyle w:val="Compact"/>
              <w:jc w:val="left"/>
            </w:pPr>
            <w:r>
              <w:rPr>
                <w:bCs/>
                <w:b/>
              </w:rPr>
              <w:t xml:space="preserve">TOTAL PRODUCT CARBON FOOTPRINT (PCF)</w:t>
            </w:r>
          </w:p>
        </w:tc>
        <w:tc>
          <w:tcPr/>
          <w:p>
            <w:pPr>
              <w:pStyle w:val="Compact"/>
              <w:jc w:val="left"/>
            </w:pPr>
            <w:r>
              <w:rPr>
                <w:bCs/>
                <w:b/>
              </w:rPr>
              <w:t xml:space="preserve">18.82 kg CO2e</w:t>
            </w:r>
          </w:p>
        </w:tc>
        <w:tc>
          <w:tcPr/>
          <w:p>
            <w:pPr>
              <w:pStyle w:val="Compact"/>
            </w:pPr>
          </w:p>
        </w:tc>
      </w:tr>
    </w:tbl>
    <w:bookmarkEnd w:id="38"/>
    <w:bookmarkStart w:id="39" w:name="Xb00d32d3c892155168f981904c955d2b207f1f2"/>
    <w:p>
      <w:pPr>
        <w:pStyle w:val="Heading3"/>
      </w:pPr>
      <w:r>
        <w:t xml:space="preserve">2026 Land Sector and Removals (LSR) Update Application</w:t>
      </w:r>
    </w:p>
    <w:p>
      <w:pPr>
        <w:pStyle w:val="FirstParagraph"/>
      </w:pPr>
      <w:r>
        <w:t xml:space="preserve">The 2026 GHG Protocol Land Sector and Removals (LSR) Standard provides accounting requirements and guidance for quantifying, reporting, and tracking land emissions and CO2 removals. For this PCF analysis, while direct land use change or biogenic carbon data for "iivjhlpqno" itself are not provided in the parameters, the application of the LSR Standard would specifically involve:</w:t>
      </w:r>
    </w:p>
    <w:p>
      <w:pPr>
        <w:numPr>
          <w:ilvl w:val="0"/>
          <w:numId w:val="1020"/>
        </w:numPr>
        <w:pStyle w:val="Compact"/>
      </w:pPr>
      <w:r>
        <w:t xml:space="preserve">Quantifying emissions and removals from any land-related activities in the supply chain (e.g., if raw materials involved agricultural or forestry products with significant land-use change impacts).</w:t>
      </w:r>
    </w:p>
    <w:p>
      <w:pPr>
        <w:numPr>
          <w:ilvl w:val="0"/>
          <w:numId w:val="1020"/>
        </w:numPr>
        <w:pStyle w:val="Compact"/>
      </w:pPr>
      <w:r>
        <w:t xml:space="preserve">Reporting technological CO2 removals if spdnvphjgy employs such technologies.</w:t>
      </w:r>
    </w:p>
    <w:p>
      <w:pPr>
        <w:numPr>
          <w:ilvl w:val="0"/>
          <w:numId w:val="1020"/>
        </w:numPr>
        <w:pStyle w:val="Compact"/>
      </w:pPr>
      <w:r>
        <w:t xml:space="preserve">Ensuring that any biogenic carbon associated with materials (e.g., cardboard packaging) is accounted for in line with the standard\'s guidance. In this report, the small impact from cardboard packaging is included as a general material emission. A more detailed LSR application would trace its biogenic origin and end-of-life fate more specifically.</w:t>
      </w:r>
    </w:p>
    <w:p>
      <w:pPr>
        <w:pStyle w:val="FirstParagraph"/>
      </w:pPr>
      <w:r>
        <w:t xml:space="preserve">Given the product type (implied electronics/manufactured goods) and the "factory_gate" system boundary for the primary calculation, direct LSR impacts are less prominent than for agricultural or forestry products. However, the upstream categories (Purchased Goods and Services) would be the primary place to integrate LSR data if available for specific raw materials. The standard takes effect on January 1, 2027, and its full guidance is expected in Q2 2026.</w:t>
      </w:r>
    </w:p>
    <w:bookmarkEnd w:id="39"/>
    <w:bookmarkStart w:id="40" w:name="scope-3-compliance-95-coverage"/>
    <w:p>
      <w:pPr>
        <w:pStyle w:val="Heading3"/>
      </w:pPr>
      <w:r>
        <w:t xml:space="preserve">Scope 3 Compliance (95% Coverage)</w:t>
      </w:r>
    </w:p>
    <w:p>
      <w:pPr>
        <w:pStyle w:val="FirstParagraph"/>
      </w:pPr>
      <w:r>
        <w:t xml:space="preserve">Achieving at least 95% coverage for Scope 3 reporting, as per 2026 requirements, necessitates comprehensive data collection across all 15 Scope 3 categories. In this report, the following Scope 3 categories have been addressed and contribute significantly to the total PCF:</w:t>
      </w:r>
    </w:p>
    <w:p>
      <w:pPr>
        <w:numPr>
          <w:ilvl w:val="0"/>
          <w:numId w:val="1021"/>
        </w:numPr>
        <w:pStyle w:val="Compact"/>
      </w:pPr>
      <w:r>
        <w:t xml:space="preserve">Category 1: Purchased Goods and Services (Materials)</w:t>
      </w:r>
    </w:p>
    <w:p>
      <w:pPr>
        <w:numPr>
          <w:ilvl w:val="0"/>
          <w:numId w:val="1021"/>
        </w:numPr>
        <w:pStyle w:val="Compact"/>
      </w:pPr>
      <w:r>
        <w:t xml:space="preserve">Category 4: Upstream Transportation and Distribution</w:t>
      </w:r>
    </w:p>
    <w:p>
      <w:pPr>
        <w:numPr>
          <w:ilvl w:val="0"/>
          <w:numId w:val="1021"/>
        </w:numPr>
        <w:pStyle w:val="Compact"/>
      </w:pPr>
      <w:r>
        <w:t xml:space="preserve">Category 9: Downstream Transportation and Distribution</w:t>
      </w:r>
    </w:p>
    <w:p>
      <w:pPr>
        <w:numPr>
          <w:ilvl w:val="0"/>
          <w:numId w:val="1021"/>
        </w:numPr>
        <w:pStyle w:val="Compact"/>
      </w:pPr>
      <w:r>
        <w:t xml:space="preserve">Category 11: Use of Sold Products</w:t>
      </w:r>
    </w:p>
    <w:p>
      <w:pPr>
        <w:numPr>
          <w:ilvl w:val="0"/>
          <w:numId w:val="1021"/>
        </w:numPr>
        <w:pStyle w:val="Compact"/>
      </w:pPr>
      <w:r>
        <w:t xml:space="preserve">Category 12: End-of-Life Treatment of Sold Products</w:t>
      </w:r>
    </w:p>
    <w:p>
      <w:pPr>
        <w:pStyle w:val="FirstParagraph"/>
      </w:pPr>
      <w:r>
        <w:t xml:space="preserve">Other Scope 3 categories (e.g., Capital Goods, Fuel- and Energy-Related Activities not in Scope 1 or 2, Business Travel, Employee Commuting, Leased Assets, Franchises, Investments) are not explicitly calculated for this product-level PCF as they typically fall under a corporate footprint or require highly specific data not provided in the parameters. However, for a complete corporate inventory, these would also be quantified. The current analysis, with significant contributions from materials and use phase, likely covers a substantial portion of the product\'s value chain emissions, aligning with the intent of high Scope 3 coverage.</w:t>
      </w:r>
    </w:p>
    <w:p>
      <w:r>
        <w:pict>
          <v:rect style="width:0;height:1.5pt" o:hralign="center" o:hrstd="t" o:hr="t"/>
        </w:pict>
      </w:r>
    </w:p>
    <w:bookmarkEnd w:id="40"/>
    <w:bookmarkEnd w:id="41"/>
    <w:bookmarkStart w:id="44" w:name="review-report"/>
    <w:p>
      <w:pPr>
        <w:pStyle w:val="Heading2"/>
      </w:pPr>
      <w:r>
        <w:t xml:space="preserve">5. Review &amp; Report</w:t>
      </w:r>
    </w:p>
    <w:bookmarkStart w:id="42" w:name="identified-hotspots"/>
    <w:p>
      <w:pPr>
        <w:pStyle w:val="Heading3"/>
      </w:pPr>
      <w:r>
        <w:t xml:space="preserve">Identified Hotspots</w:t>
      </w:r>
    </w:p>
    <w:p>
      <w:pPr>
        <w:pStyle w:val="FirstParagraph"/>
      </w:pPr>
      <w:r>
        <w:t xml:space="preserve">Based on the calculations, the primary carbon hotspots for iivjhlpqno are:</w:t>
      </w:r>
    </w:p>
    <w:p>
      <w:pPr>
        <w:numPr>
          <w:ilvl w:val="0"/>
          <w:numId w:val="1022"/>
        </w:numPr>
        <w:pStyle w:val="Compact"/>
      </w:pPr>
      <w:r>
        <w:rPr>
          <w:bCs/>
          <w:b/>
        </w:rPr>
        <w:t xml:space="preserve">Material Acquisition &amp; Pre-processing (Scope 3, Category 1):</w:t>
      </w:r>
      <w:r>
        <w:t xml:space="preserve"> </w:t>
      </w:r>
      <w:r>
        <w:t xml:space="preserve">This stage accounts for approximately 48% of the total PCF (9.11 kg CO2e out of 18.82 kg CO2e). This is a common hotspot for manufactured goods, highlighting the impact of raw material extraction and processing.</w:t>
      </w:r>
    </w:p>
    <w:p>
      <w:pPr>
        <w:numPr>
          <w:ilvl w:val="0"/>
          <w:numId w:val="1022"/>
        </w:numPr>
        <w:pStyle w:val="Compact"/>
      </w:pPr>
      <w:r>
        <w:rPr>
          <w:bCs/>
          <w:b/>
        </w:rPr>
        <w:t xml:space="preserve">Use Phase (Scope 3, Category 11):</w:t>
      </w:r>
      <w:r>
        <w:t xml:space="preserve"> </w:t>
      </w:r>
      <w:r>
        <w:t xml:space="preserve">The energy consumed during the product\'s lifespan contributes approximately 48% of the total PCF (9.05 kg CO2e). The energy intensity and the emission factor of the electricity grid in the region of use are key drivers.</w:t>
      </w:r>
    </w:p>
    <w:p>
      <w:pPr>
        <w:numPr>
          <w:ilvl w:val="0"/>
          <w:numId w:val="1022"/>
        </w:numPr>
        <w:pStyle w:val="Compact"/>
      </w:pPr>
      <w:r>
        <w:rPr>
          <w:bCs/>
          <w:b/>
        </w:rPr>
        <w:t xml:space="preserve">Purchased Electricity for Production (Scope 2):</w:t>
      </w:r>
      <w:r>
        <w:t xml:space="preserve"> </w:t>
      </w:r>
      <w:r>
        <w:t xml:space="preserve">While lower than the other two, it still represents a notable portion (approximately 4.6% or 0.87 kg CO2e), reflecting the carbon intensity of the Chinese electricity grid, even with 70% renewable energy usage.</w:t>
      </w:r>
    </w:p>
    <w:bookmarkEnd w:id="42"/>
    <w:bookmarkStart w:id="43" w:name="reliability-of-data-and-recommendations"/>
    <w:p>
      <w:pPr>
        <w:pStyle w:val="Heading3"/>
      </w:pPr>
      <w:r>
        <w:t xml:space="preserve">Reliability of Data and Recommendations</w:t>
      </w:r>
    </w:p>
    <w:p>
      <w:pPr>
        <w:pStyle w:val="FirstParagraph"/>
      </w:pPr>
      <w:r>
        <w:t xml:space="preserve">The reliability of this PCF analysis is contingent upon the accuracy and completeness of the underlying data. Given the use of placeholder values for certain parameters (BOM details, transport modes/distances, energy usage, EoL specifics), the quantitative results should be considered illustrative for demonstrating the methodology rather than definitive for real-world decision-making. For a truly high-detail and robust PCF:</w:t>
      </w:r>
    </w:p>
    <w:p>
      <w:pPr>
        <w:numPr>
          <w:ilvl w:val="0"/>
          <w:numId w:val="1023"/>
        </w:numPr>
        <w:pStyle w:val="Compact"/>
      </w:pPr>
      <w:r>
        <w:rPr>
          <w:bCs/>
          <w:b/>
        </w:rPr>
        <w:t xml:space="preserve">Primary Data Collection:</w:t>
      </w:r>
      <w:r>
        <w:t xml:space="preserve"> </w:t>
      </w:r>
      <w:r>
        <w:t xml:space="preserve">Implement robust systems for collecting primary data from suppliers for the Detailed Bill of Materials, including actual emission factors for specific processes and materials.</w:t>
      </w:r>
    </w:p>
    <w:p>
      <w:pPr>
        <w:numPr>
          <w:ilvl w:val="0"/>
          <w:numId w:val="1023"/>
        </w:numPr>
        <w:pStyle w:val="Compact"/>
      </w:pPr>
      <w:r>
        <w:rPr>
          <w:bCs/>
          <w:b/>
        </w:rPr>
        <w:t xml:space="preserve">Logistics Data:</w:t>
      </w:r>
      <w:r>
        <w:t xml:space="preserve"> </w:t>
      </w:r>
      <w:r>
        <w:t xml:space="preserve">Obtain exact transport modes, distances, and specific emission factors for all significant inbound and outbound logistics routes, particularly considering the "Europe Focused" supply chain.</w:t>
      </w:r>
    </w:p>
    <w:p>
      <w:pPr>
        <w:numPr>
          <w:ilvl w:val="0"/>
          <w:numId w:val="1023"/>
        </w:numPr>
        <w:pStyle w:val="Compact"/>
      </w:pPr>
      <w:r>
        <w:rPr>
          <w:bCs/>
          <w:b/>
        </w:rPr>
        <w:t xml:space="preserve">Energy Data:</w:t>
      </w:r>
      <w:r>
        <w:t xml:space="preserve"> </w:t>
      </w:r>
      <w:r>
        <w:t xml:space="preserve">Verify the actual renewable energy usage and energy intensity (kWh/unit) at the production facility. If possible, use site-specific emission factors for purchased electricity.</w:t>
      </w:r>
    </w:p>
    <w:p>
      <w:pPr>
        <w:numPr>
          <w:ilvl w:val="0"/>
          <w:numId w:val="1023"/>
        </w:numPr>
        <w:pStyle w:val="Compact"/>
      </w:pPr>
      <w:r>
        <w:rPr>
          <w:bCs/>
          <w:b/>
        </w:rPr>
        <w:t xml:space="preserve">Use Phase Data:</w:t>
      </w:r>
      <w:r>
        <w:t xml:space="preserve"> </w:t>
      </w:r>
      <w:r>
        <w:t xml:space="preserve">Conduct user studies or engineering analyses to refine product lifespan and actual energy consumption patterns in various user environments.</w:t>
      </w:r>
    </w:p>
    <w:p>
      <w:pPr>
        <w:numPr>
          <w:ilvl w:val="0"/>
          <w:numId w:val="1023"/>
        </w:numPr>
        <w:pStyle w:val="Compact"/>
      </w:pPr>
      <w:r>
        <w:rPr>
          <w:bCs/>
          <w:b/>
        </w:rPr>
        <w:t xml:space="preserve">End-of-Life Data:</w:t>
      </w:r>
      <w:r>
        <w:t xml:space="preserve"> </w:t>
      </w:r>
      <w:r>
        <w:t xml:space="preserve">Collaborate with waste management and recycling partners to get specific data on actual recycling rates and the emissions/credits associated with the company\'s circular programs.</w:t>
      </w:r>
    </w:p>
    <w:p>
      <w:pPr>
        <w:numPr>
          <w:ilvl w:val="0"/>
          <w:numId w:val="1023"/>
        </w:numPr>
        <w:pStyle w:val="Compact"/>
      </w:pPr>
      <w:r>
        <w:rPr>
          <w:bCs/>
          <w:b/>
        </w:rPr>
        <w:t xml:space="preserve">Scope 3 Expansion:</w:t>
      </w:r>
      <w:r>
        <w:t xml:space="preserve"> </w:t>
      </w:r>
      <w:r>
        <w:t xml:space="preserve">Systematically collect data for other relevant Scope 3 categories (e.g., capital goods, waste from operations not covered in EoL) to ensure the 95% coverage target is met with verified information.</w:t>
      </w:r>
    </w:p>
    <w:p>
      <w:pPr>
        <w:numPr>
          <w:ilvl w:val="0"/>
          <w:numId w:val="1023"/>
        </w:numPr>
        <w:pStyle w:val="Compact"/>
      </w:pPr>
      <w:r>
        <w:rPr>
          <w:bCs/>
          <w:b/>
        </w:rPr>
        <w:t xml:space="preserve">LSR Implementation:</w:t>
      </w:r>
      <w:r>
        <w:t xml:space="preserve"> </w:t>
      </w:r>
      <w:r>
        <w:t xml:space="preserve">Conduct a thorough assessment of any land-related impacts within the product\'s upstream supply chain, applying the detailed guidance of the 2026 LSR Standard as it becomes effective.</w:t>
      </w:r>
    </w:p>
    <w:p>
      <w:pPr>
        <w:pStyle w:val="FirstParagraph"/>
      </w:pPr>
      <w:r>
        <w:t xml:space="preserve">spdnvphjgy should prioritize these areas for data improvement to enhance the accuracy and actionability of future PCF analyses for iivjhlpqno and other products, aligning with their commitment to sustainability and GHG Protocol compliance.</w:t>
      </w:r>
    </w:p>
    <w:p>
      <w:pPr>
        <w:pStyle w:val="BodyText"/>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iivjhlpqno</dc:title>
  <dc:creator/>
  <dc:description>High-detail Product Carbon Footprint (PCF) analysis for iivjhlpqno by spdnvphjgy, adhering to GHG Protocol and 2026 LSR Update.</dc:description>
  <dc:language>en</dc:language>
  <cp:keywords/>
  <dcterms:created xsi:type="dcterms:W3CDTF">2026-05-30T19:26:07Z</dcterms:created>
  <dcterms:modified xsi:type="dcterms:W3CDTF">2026-05-30T19:26:07Z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