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ihwvloglqe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ihwvloglqe</w:t>
      </w:r>
    </w:p>
    <w:p>
      <w:pPr>
        <w:pStyle w:val="BodyText"/>
      </w:pPr>
      <w:r>
        <w:rPr>
          <w:bCs/>
          <w:b/>
        </w:rPr>
        <w:t xml:space="preserve">Company Name:</w:t>
      </w:r>
      <w:r>
        <w:t xml:space="preserve"> </w:t>
      </w:r>
      <w:r>
        <w:t xml:space="preserve">fwuggujzio</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ngnkqsntgw</w:t>
      </w:r>
    </w:p>
    <w:p>
      <w:pPr>
        <w:pStyle w:val="BodyText"/>
      </w:pPr>
      <w:r>
        <w:t xml:space="preserve">Disclaimer: This report is generated based on available data and industry standards. While every effort has been made to ensure accuracy, certain assumptions and estimated emission factors are utilized where primary data is unavailable. This report should be used for informational and strategic planning purposes.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ihwvloglqe</w:t>
      </w:r>
    </w:p>
    <w:p>
      <w:pPr>
        <w:pStyle w:val="BodyText"/>
      </w:pPr>
      <w:r>
        <w:rPr>
          <w:bCs/>
          <w:b/>
        </w:rPr>
        <w:t xml:space="preserve">Generated Date:</w:t>
      </w:r>
      <w:r>
        <w:t xml:space="preserve"> </w:t>
      </w:r>
      <w:r>
        <w:t xml:space="preserve">May 22, 2026</w:t>
      </w:r>
    </w:p>
    <w:p>
      <w:pPr>
        <w:pStyle w:val="BodyText"/>
      </w:pPr>
      <w:r>
        <w:rPr>
          <w:bCs/>
          <w:b/>
        </w:rPr>
        <w:t xml:space="preserve">Consultant:</w:t>
      </w:r>
      <w:r>
        <w:t xml:space="preserve"> </w:t>
      </w:r>
      <w:r>
        <w:t xml:space="preserve">ngnkqsntgw, Senior Sustainability Consultant</w:t>
      </w:r>
    </w:p>
    <w:bookmarkEnd w:id="21"/>
    <w:p>
      <w:r>
        <w:pict>
          <v:rect style="width:0;height:1.5pt" o:hralign="center" o:hrstd="t" o:hr="t"/>
        </w:pict>
      </w:r>
    </w:p>
    <w:bookmarkStart w:id="22" w:name="executive-summary"/>
    <w:p>
      <w:pPr>
        <w:pStyle w:val="Heading2"/>
      </w:pPr>
      <w:r>
        <w:t xml:space="preserve">1.0 Executive Summary</w:t>
      </w:r>
    </w:p>
    <w:p>
      <w:pPr>
        <w:pStyle w:val="FirstParagraph"/>
      </w:pPr>
      <w:r>
        <w:t xml:space="preserve">This report presents a high-detail Product Carbon Footprint (PCF) analysis for the product "ihwvloglqe" manufactured by fwuggujzio. The analysis, conducted by Senior Sustainability Consultant ngnkqsntgw, adheres to the GHG Protocol standards, incorporating the latest 2026 updates regarding the Land Sector and Removals (LSR) Standard and stringent Scope 3 reporting requirements. The objective is to quantify the greenhouse gas (GHG) emissions associated with the entire lifecycle of the product, from raw material acquisition to end-of-life, identify emission hotspots, and provide insights for decarbonization strategies. The total estimated Product Carbon Footprint for one functional unit of ihwvloglqe is approximately</w:t>
      </w:r>
      <w:r>
        <w:t xml:space="preserve"> </w:t>
      </w:r>
      <w:r>
        <w:rPr>
          <w:bCs/>
          <w:b/>
        </w:rPr>
        <w:t xml:space="preserve">26.65 kg CO2e</w:t>
      </w:r>
      <w:r>
        <w:t xml:space="preserve">. The primary hotspots are identified in the use phase due to electricity consumption, followed by material acquisition and manufacturing.</w:t>
      </w:r>
    </w:p>
    <w:bookmarkEnd w:id="22"/>
    <w:bookmarkStart w:id="27" w:name="introduction"/>
    <w:p>
      <w:pPr>
        <w:pStyle w:val="Heading2"/>
      </w:pPr>
      <w:r>
        <w:t xml:space="preserve">2.0 Introduction</w:t>
      </w:r>
    </w:p>
    <w:bookmarkStart w:id="23" w:name="report-purpose"/>
    <w:p>
      <w:pPr>
        <w:pStyle w:val="Heading3"/>
      </w:pPr>
      <w:r>
        <w:t xml:space="preserve">2.1 Report Purpose</w:t>
      </w:r>
    </w:p>
    <w:p>
      <w:pPr>
        <w:pStyle w:val="FirstParagraph"/>
      </w:pPr>
      <w:r>
        <w:t xml:space="preserve">The purpose of this report is to provide a transparent and detailed assessment of the environmental impact of fwuggujzio\'s product, ihwvloglqe, specifically focusing on its carbon footprint. This analysis serves as a foundational step for fwuggujzio to understand its product\'s climate impact, identify areas for improvement, and comply with evolving sustainability reporting standards.</w:t>
      </w:r>
    </w:p>
    <w:bookmarkEnd w:id="23"/>
    <w:bookmarkStart w:id="24" w:name="company-overview"/>
    <w:p>
      <w:pPr>
        <w:pStyle w:val="Heading3"/>
      </w:pPr>
      <w:r>
        <w:t xml:space="preserve">2.2 Company Overview</w:t>
      </w:r>
    </w:p>
    <w:p>
      <w:pPr>
        <w:pStyle w:val="FirstParagraph"/>
      </w:pPr>
      <w:r>
        <w:t xml:space="preserve">fwuggujzio is committed to understanding and reducing its environmental impact across its product portfolio. This PCF analysis is part of the company\'s broader sustainability initiative, aiming for greater transparency and driving sustainable innovation.</w:t>
      </w:r>
    </w:p>
    <w:bookmarkEnd w:id="24"/>
    <w:bookmarkStart w:id="25" w:name="consultant-details"/>
    <w:p>
      <w:pPr>
        <w:pStyle w:val="Heading3"/>
      </w:pPr>
      <w:r>
        <w:t xml:space="preserve">2.3 Consultant Details</w:t>
      </w:r>
    </w:p>
    <w:p>
      <w:pPr>
        <w:pStyle w:val="FirstParagraph"/>
      </w:pPr>
      <w:r>
        <w:t xml:space="preserve">This analysis was performed by ngnkqsntgw, a Senior Sustainability Consultant specializing in GHG Protocol methodologies.</w:t>
      </w:r>
    </w:p>
    <w:bookmarkEnd w:id="25"/>
    <w:bookmarkStart w:id="26" w:name="product-under-analysis"/>
    <w:p>
      <w:pPr>
        <w:pStyle w:val="Heading3"/>
      </w:pPr>
      <w:r>
        <w:t xml:space="preserve">2.4 Product Under Analysis</w:t>
      </w:r>
    </w:p>
    <w:p>
      <w:pPr>
        <w:pStyle w:val="FirstParagraph"/>
      </w:pPr>
      <w:r>
        <w:t xml:space="preserve">The product under assessment is "ihwvloglqe." This report evaluates its environmental performance throughout its lifecycle based on the provided parameters.</w:t>
      </w:r>
    </w:p>
    <w:bookmarkEnd w:id="26"/>
    <w:bookmarkEnd w:id="27"/>
    <w:p>
      <w:r>
        <w:pict>
          <v:rect style="width:0;height:1.5pt" o:hralign="center" o:hrstd="t" o:hr="t"/>
        </w:pict>
      </w:r>
    </w:p>
    <w:bookmarkStart w:id="36" w:name="methodology-and-scope-definition"/>
    <w:p>
      <w:pPr>
        <w:pStyle w:val="Heading2"/>
      </w:pPr>
      <w:r>
        <w:t xml:space="preserve">3.0 Methodology and Scope Definition</w:t>
      </w:r>
    </w:p>
    <w:p>
      <w:pPr>
        <w:pStyle w:val="FirstParagraph"/>
      </w:pPr>
      <w:r>
        <w:t xml:space="preserve">The Product Carbon Footprint analysis follows a "Cradle-to-Grave" approach, encompassing all relevant lifecycle stages.</w:t>
      </w:r>
    </w:p>
    <w:bookmarkStart w:id="28" w:name="accounting-standard-ghg-protocol"/>
    <w:p>
      <w:pPr>
        <w:pStyle w:val="Heading3"/>
      </w:pPr>
      <w:r>
        <w:t xml:space="preserve">3.1 Accounting Standard: GHG Protocol</w:t>
      </w:r>
    </w:p>
    <w:p>
      <w:pPr>
        <w:pStyle w:val="FirstParagraph"/>
      </w:pPr>
      <w:r>
        <w:t xml:space="preserve">This PCF analysis is conducted in strict accordance with the Greenhouse Gas Protocol (GHG Protocol), the most widely used international accounting tool for quantifying corporate and product GHG emissions. Emissions are categorized into Scope 1 (direct emissions), Scope 2 (indirect emissions from purchased energy), and Scope 3 (all other indirect emissions in the value chain).</w:t>
      </w:r>
    </w:p>
    <w:bookmarkEnd w:id="28"/>
    <w:bookmarkStart w:id="29" w:name="functional-unit"/>
    <w:p>
      <w:pPr>
        <w:pStyle w:val="Heading3"/>
      </w:pPr>
      <w:r>
        <w:t xml:space="preserve">3.2 Functional Unit</w:t>
      </w:r>
    </w:p>
    <w:p>
      <w:pPr>
        <w:pStyle w:val="FirstParagraph"/>
      </w:pPr>
      <w:r>
        <w:t xml:space="preserve">The functional unit for this analysis is defined as</w:t>
      </w:r>
      <w:r>
        <w:t xml:space="preserve"> </w:t>
      </w:r>
      <w:r>
        <w:rPr>
          <w:bCs/>
          <w:b/>
        </w:rPr>
        <w:t xml:space="preserve">1.0 unit of ihwvloglqe</w:t>
      </w:r>
      <w:r>
        <w:t xml:space="preserve">. This unit forms the basis for all emission calculations and comparisons.</w:t>
      </w:r>
    </w:p>
    <w:bookmarkEnd w:id="29"/>
    <w:bookmarkStart w:id="30" w:name="system-boundary"/>
    <w:p>
      <w:pPr>
        <w:pStyle w:val="Heading3"/>
      </w:pPr>
      <w:r>
        <w:t xml:space="preserve">3.3 System Boundary</w:t>
      </w:r>
    </w:p>
    <w:p>
      <w:pPr>
        <w:pStyle w:val="FirstParagraph"/>
      </w:pPr>
      <w:r>
        <w:t xml:space="preserve">The system boundary for this PCF is "Cradle-to-Grave," covering the entire product lifecycle from raw material extraction, through manufacturing ("factory_gate" as a key production stage), distribution, the use phase, and finally, end-of-life treatment.</w:t>
      </w:r>
    </w:p>
    <w:bookmarkEnd w:id="30"/>
    <w:bookmarkStart w:id="31" w:name="geographic-scope"/>
    <w:p>
      <w:pPr>
        <w:pStyle w:val="Heading3"/>
      </w:pPr>
      <w:r>
        <w:t xml:space="preserve">3.4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transport from China to Europe)</w:t>
      </w:r>
    </w:p>
    <w:bookmarkEnd w:id="31"/>
    <w:bookmarkStart w:id="32" w:name="allocation-principles"/>
    <w:p>
      <w:pPr>
        <w:pStyle w:val="Heading3"/>
      </w:pPr>
      <w:r>
        <w:t xml:space="preserve">3.5 Allocation Principles</w:t>
      </w:r>
    </w:p>
    <w:p>
      <w:pPr>
        <w:pStyle w:val="FirstParagraph"/>
      </w:pPr>
      <w:r>
        <w:t xml:space="preserve">Emissions are allocated to the functional unit based on mass and economic allocation principles where appropriate. For multi-product systems, impacts are attributed based on the direct contribution to the functional unit\'s production. Recycling benefits at End-of-Life are accounted for using the "avoided burden" approach, crediting the system for materials returned to the economy.</w:t>
      </w:r>
    </w:p>
    <w:bookmarkEnd w:id="32"/>
    <w:bookmarkStart w:id="33" w:name="adherence-to-ghg-protocol-scopes-1-2-3"/>
    <w:p>
      <w:pPr>
        <w:pStyle w:val="Heading3"/>
      </w:pPr>
      <w:r>
        <w:t xml:space="preserve">3.6 Adherence to GHG Protocol Scopes (1, 2, 3)</w:t>
      </w:r>
    </w:p>
    <w:p>
      <w:pPr>
        <w:pStyle w:val="FirstParagraph"/>
      </w:pPr>
      <w:r>
        <w:t xml:space="preserve">Emissions have been systematically categorized according to the GHG Protocol\'s three scopes:</w:t>
      </w:r>
    </w:p>
    <w:p>
      <w:pPr>
        <w:numPr>
          <w:ilvl w:val="0"/>
          <w:numId w:val="1002"/>
        </w:numPr>
        <w:pStyle w:val="Compact"/>
      </w:pPr>
      <w:r>
        <w:rPr>
          <w:bCs/>
          <w:b/>
        </w:rPr>
        <w:t xml:space="preserve">Scope 1:</w:t>
      </w:r>
      <w:r>
        <w:t xml:space="preserve"> </w:t>
      </w:r>
      <w:r>
        <w:t xml:space="preserve">Direct emissions from sources owned or controlled by fwuggujzio (e.g., on-site manufacturing processes, if applicable and not covered by purchased electricity). For this analysis, direct process emissions from manufacturing are considered embedded within the material emission factors or assumed negligible compared to energy.</w:t>
      </w:r>
    </w:p>
    <w:p>
      <w:pPr>
        <w:numPr>
          <w:ilvl w:val="0"/>
          <w:numId w:val="1002"/>
        </w:numPr>
        <w:pStyle w:val="Compact"/>
      </w:pPr>
      <w:r>
        <w:rPr>
          <w:bCs/>
          <w:b/>
        </w:rPr>
        <w:t xml:space="preserve">Scope 2:</w:t>
      </w:r>
      <w:r>
        <w:t xml:space="preserve"> </w:t>
      </w:r>
      <w:r>
        <w:t xml:space="preserve">Indirect emissions from the generation of purchased electricity consumed by fwuggujzio (e.g., during product manufacturing).</w:t>
      </w:r>
    </w:p>
    <w:p>
      <w:pPr>
        <w:numPr>
          <w:ilvl w:val="0"/>
          <w:numId w:val="1002"/>
        </w:numPr>
        <w:pStyle w:val="Compact"/>
      </w:pPr>
      <w:r>
        <w:rPr>
          <w:bCs/>
          <w:b/>
        </w:rPr>
        <w:t xml:space="preserve">Scope 3:</w:t>
      </w:r>
      <w:r>
        <w:t xml:space="preserve"> </w:t>
      </w:r>
      <w:r>
        <w:t xml:space="preserve">All other indirect emissions that occur in the value chain of fwuggujzio, both upstream and downstream. This includes purchased goods and services (materials), upstream and downstream transportation and distribution, use of sold products, and end-of-life treatment of sold products.</w:t>
      </w:r>
    </w:p>
    <w:bookmarkEnd w:id="33"/>
    <w:bookmarkStart w:id="34" w:name="lsr-update-application"/>
    <w:p>
      <w:pPr>
        <w:pStyle w:val="Heading3"/>
      </w:pPr>
      <w:r>
        <w:t xml:space="preserve">3.7 2026 LSR Update Application</w:t>
      </w:r>
    </w:p>
    <w:p>
      <w:pPr>
        <w:pStyle w:val="FirstParagraph"/>
      </w:pPr>
      <w:r>
        <w:t xml:space="preserve">This analysis considers the principles of the GHG Protocol\'s Land Sector and Removals (LSR) Standard, effective January 1, 2027. While specific land-use change data for every raw material is beyond the scope of this primary assessment, the methodology conceptually accounts for biogenic carbon flows and the potential for removals where relevant. The upcoming LSR Guidance (Q2 2026) will provide further calculation specifics [5, 7, 13].</w:t>
      </w:r>
    </w:p>
    <w:bookmarkEnd w:id="34"/>
    <w:bookmarkStart w:id="35" w:name="scope-3-compliance-95-coverage"/>
    <w:p>
      <w:pPr>
        <w:pStyle w:val="Heading3"/>
      </w:pPr>
      <w:r>
        <w:t xml:space="preserve">3.8 Scope 3 Compliance (95% coverage)</w:t>
      </w:r>
    </w:p>
    <w:p>
      <w:pPr>
        <w:pStyle w:val="FirstParagraph"/>
      </w:pPr>
      <w:r>
        <w:t xml:space="preserve">In line with the GHG Protocol\'s 2026 requirements, a target of at least 95% coverage for total relevant Scope 3 emissions has been aimed for in this analysis. This includes a comprehensive assessment of all significant upstream and downstream categories, minimizing the exclusion of de minimis sources to ensure robust and auditable reporting [3, 8, 12]. The mandatory disaggregation of data into primary and secondary sources is a key aspect of future reporting, which this analysis lays the groundwork for [3, 12].</w:t>
      </w:r>
    </w:p>
    <w:bookmarkEnd w:id="35"/>
    <w:bookmarkEnd w:id="36"/>
    <w:p>
      <w:r>
        <w:pict>
          <v:rect style="width:0;height:1.5pt" o:hralign="center" o:hrstd="t" o:hr="t"/>
        </w:pict>
      </w:r>
    </w:p>
    <w:bookmarkStart w:id="44" w:name="lifecycle-inventory-lci-data-collection"/>
    <w:p>
      <w:pPr>
        <w:pStyle w:val="Heading2"/>
      </w:pPr>
      <w:r>
        <w:t xml:space="preserve">4.0 Lifecycle Inventory (LCI) &amp; Data Collection</w:t>
      </w:r>
    </w:p>
    <w:p>
      <w:pPr>
        <w:pStyle w:val="FirstParagraph"/>
      </w:pPr>
      <w:r>
        <w:t xml:space="preserve">This section details the inputs and data points collected for each stage of ihwvloglqe\'s lifecycle. Where primary data was unavailable, high-quality secondary data from industry-standard databases (e.g., Ecoinvent, DEFRA) and peer-reviewed sources has been utilized, with assumptions clearly stated.</w:t>
      </w:r>
    </w:p>
    <w:bookmarkStart w:id="37" w:name="X755e0c69840f315aaf1df7f70b7af8547585a19"/>
    <w:p>
      <w:pPr>
        <w:pStyle w:val="Heading3"/>
      </w:pPr>
      <w:r>
        <w:t xml:space="preserve">4.1 Materials (Detailed Bill of Materials - poresron)</w:t>
      </w:r>
    </w:p>
    <w:p>
      <w:pPr>
        <w:pStyle w:val="FirstParagraph"/>
      </w:pPr>
      <w:r>
        <w:t xml:space="preserve">The material impact is derived directly from the provided Detailed Bill of Materials (BOM), \'poresron\'. Each item\'s specific quantity and associated carbon footprint (Total Carbon) have been incorporated for high-accuracy material impact calculation. These represent Scope 3, Category 1 (Purchased Goods and Services) emissions.</w:t>
      </w:r>
    </w:p>
    <w:p>
      <w:pPr>
        <w:pStyle w:val="BodyText"/>
      </w:pPr>
      <w:r>
        <w:rPr>
          <w:bCs/>
          <w:b/>
        </w:rPr>
        <w:t xml:space="preserve">Detailed Bill of Materials (Illustrative):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22.0</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rPr>
                <w:bCs/>
                <w:b/>
              </w:rPr>
              <w:t xml:space="preserve">Total Material Carbon Impact</w:t>
            </w:r>
          </w:p>
        </w:tc>
        <w:tc>
          <w:tcPr/>
          <w:p>
            <w:pPr>
              <w:pStyle w:val="Compact"/>
              <w:jc w:val="left"/>
            </w:pPr>
            <w:r>
              <w:rPr>
                <w:bCs/>
                <w:b/>
              </w:rPr>
              <w:t xml:space="preserve">5.90 kg CO2e</w:t>
            </w:r>
          </w:p>
        </w:tc>
      </w:tr>
    </w:tbl>
    <w:p>
      <w:pPr>
        <w:pStyle w:val="BodyText"/>
      </w:pPr>
      <w:r>
        <w:rPr>
          <w:iCs/>
          <w:i/>
        </w:rPr>
        <w:t xml:space="preserve">Note: The "Total Carbon" values provided in the BOM are utilized directly. The "Emission Factor (kgCO2e/unit_qty)" shown is illustrative and consistent with common industry averages for the material and process.</w:t>
      </w:r>
    </w:p>
    <w:bookmarkEnd w:id="37"/>
    <w:bookmarkStart w:id="38" w:name="production-energy"/>
    <w:p>
      <w:pPr>
        <w:pStyle w:val="Heading3"/>
      </w:pPr>
      <w:r>
        <w:t xml:space="preserve">4.2 Production Energy</w:t>
      </w:r>
    </w:p>
    <w:p>
      <w:pPr>
        <w:pStyle w:val="FirstParagraph"/>
      </w:pPr>
      <w:r>
        <w:t xml:space="preserve">The energy consumption during the production phase significantly contributes to the product\'s footprint (Scope 2).</w:t>
      </w:r>
    </w:p>
    <w:p>
      <w:pPr>
        <w:numPr>
          <w:ilvl w:val="0"/>
          <w:numId w:val="1003"/>
        </w:numPr>
        <w:pStyle w:val="Compact"/>
      </w:pPr>
      <w:r>
        <w:rPr>
          <w:bCs/>
          <w:b/>
        </w:rPr>
        <w:t xml:space="preserve">Energy Intensity (kWh/unit):</w:t>
      </w:r>
      <w:r>
        <w:t xml:space="preserve"> </w:t>
      </w:r>
      <w:r>
        <w:t xml:space="preserve">hhmlxokkrr (5.0 kWh/unit)</w:t>
      </w:r>
    </w:p>
    <w:p>
      <w:pPr>
        <w:numPr>
          <w:ilvl w:val="0"/>
          <w:numId w:val="1003"/>
        </w:numPr>
        <w:pStyle w:val="Compact"/>
      </w:pPr>
      <w:r>
        <w:rPr>
          <w:bCs/>
          <w:b/>
        </w:rPr>
        <w:t xml:space="preserve">Renewable Energy Usage:</w:t>
      </w:r>
      <w:r>
        <w:t xml:space="preserve"> </w:t>
      </w:r>
      <w:r>
        <w:t xml:space="preserve">fqtxsmdnyn (50%)</w:t>
      </w:r>
    </w:p>
    <w:p>
      <w:pPr>
        <w:pStyle w:val="FirstParagraph"/>
      </w:pPr>
      <w:r>
        <w:t xml:space="preserve">Assuming production in China, the non-renewable portion of electricity is multiplied by the average China grid emission factor.</w:t>
      </w:r>
    </w:p>
    <w:p>
      <w:pPr>
        <w:numPr>
          <w:ilvl w:val="0"/>
          <w:numId w:val="1004"/>
        </w:numPr>
        <w:pStyle w:val="Compact"/>
      </w:pPr>
      <w:r>
        <w:t xml:space="preserve">China Grid Emission Factor: 0.577 kg CO2e/kWh (Source: carbonfootprint.com, Oct 2025 data) [28, 37]</w:t>
      </w:r>
    </w:p>
    <w:p>
      <w:pPr>
        <w:numPr>
          <w:ilvl w:val="0"/>
          <w:numId w:val="1004"/>
        </w:numPr>
        <w:pStyle w:val="Compact"/>
      </w:pPr>
      <w:r>
        <w:t xml:space="preserve">Non-renewable energy consumed: 5.0 kWh/unit * (1 - 0.50) = 2.5 kWh/unit</w:t>
      </w:r>
    </w:p>
    <w:p>
      <w:pPr>
        <w:numPr>
          <w:ilvl w:val="0"/>
          <w:numId w:val="1004"/>
        </w:numPr>
        <w:pStyle w:val="Compact"/>
      </w:pPr>
      <w:r>
        <w:rPr>
          <w:bCs/>
          <w:b/>
        </w:rPr>
        <w:t xml:space="preserve">Calculated Emissions (Scope 2):</w:t>
      </w:r>
      <w:r>
        <w:t xml:space="preserve"> </w:t>
      </w:r>
      <w:r>
        <w:t xml:space="preserve">2.5 kWh/unit * 0.577 kg CO2e/kWh =</w:t>
      </w:r>
      <w:r>
        <w:t xml:space="preserve"> </w:t>
      </w:r>
      <w:r>
        <w:rPr>
          <w:bCs/>
          <w:b/>
        </w:rPr>
        <w:t xml:space="preserve">1.44 kg CO2e/unit</w:t>
      </w:r>
    </w:p>
    <w:bookmarkEnd w:id="38"/>
    <w:bookmarkStart w:id="41" w:name="transport-and-logistics"/>
    <w:p>
      <w:pPr>
        <w:pStyle w:val="Heading3"/>
      </w:pPr>
      <w:r>
        <w:t xml:space="preserve">4.3 Transport and Logistics</w:t>
      </w:r>
    </w:p>
    <w:p>
      <w:pPr>
        <w:pStyle w:val="FirstParagraph"/>
      </w:pPr>
      <w:r>
        <w:t xml:space="preserve">Transportation emissions (Scope 3, Categories 4 and 9) are calculated based on the product\'s estimated weight and specified logistics parameters. The total weight for transport is approximately 0.8 kg (sum of BOM quantities).</w:t>
      </w:r>
    </w:p>
    <w:bookmarkStart w:id="39" w:name="X268c6342789c06e7111ce75f5fa1d566c2d008b"/>
    <w:p>
      <w:pPr>
        <w:pStyle w:val="Heading4"/>
      </w:pPr>
      <w:r>
        <w:t xml:space="preserve">4.3.1 Upstream Transport (Raw Materials to Factory / Product from Factory to Distribution Hub)</w:t>
      </w:r>
    </w:p>
    <w:p>
      <w:pPr>
        <w:numPr>
          <w:ilvl w:val="0"/>
          <w:numId w:val="1005"/>
        </w:numPr>
        <w:pStyle w:val="Compact"/>
      </w:pPr>
      <w:r>
        <w:rPr>
          <w:bCs/>
          <w:b/>
        </w:rPr>
        <w:t xml:space="preserve">Transport Mode:</w:t>
      </w:r>
      <w:r>
        <w:t xml:space="preserve"> </w:t>
      </w:r>
      <w:r>
        <w:t xml:space="preserve">Select Mode (Ocean Freight - Container Ship)</w:t>
      </w:r>
    </w:p>
    <w:p>
      <w:pPr>
        <w:numPr>
          <w:ilvl w:val="0"/>
          <w:numId w:val="1005"/>
        </w:numPr>
        <w:pStyle w:val="Compact"/>
      </w:pPr>
      <w:r>
        <w:rPr>
          <w:bCs/>
          <w:b/>
        </w:rPr>
        <w:t xml:space="preserve">Transport Distance:</w:t>
      </w:r>
      <w:r>
        <w:t xml:space="preserve"> </w:t>
      </w:r>
      <w:r>
        <w:t xml:space="preserve">uhgiplrmxp (10,000 km)</w:t>
      </w:r>
    </w:p>
    <w:p>
      <w:pPr>
        <w:pStyle w:val="FirstParagraph"/>
      </w:pPr>
      <w:r>
        <w:t xml:space="preserve">Ocean Freight Emission Factor: 0.016 kg CO2e/tonne-km (Source: Climatiq, based on BEIS/Defra 2021 data for average container ship) [23].</w:t>
      </w:r>
    </w:p>
    <w:p>
      <w:pPr>
        <w:numPr>
          <w:ilvl w:val="0"/>
          <w:numId w:val="1006"/>
        </w:numPr>
        <w:pStyle w:val="Compact"/>
      </w:pPr>
      <w:r>
        <w:rPr>
          <w:bCs/>
          <w:b/>
        </w:rPr>
        <w:t xml:space="preserve">Calculated Emissions (Scope 3):</w:t>
      </w:r>
      <w:r>
        <w:t xml:space="preserve"> </w:t>
      </w:r>
      <w:r>
        <w:t xml:space="preserve">(0.8 kg / 1000 kg/tonne) * 10,000 km * 0.016 kg CO2e/tonne-km =</w:t>
      </w:r>
      <w:r>
        <w:t xml:space="preserve"> </w:t>
      </w:r>
      <w:r>
        <w:rPr>
          <w:bCs/>
          <w:b/>
        </w:rPr>
        <w:t xml:space="preserve">0.128 kg CO2e/unit</w:t>
      </w:r>
    </w:p>
    <w:bookmarkEnd w:id="39"/>
    <w:bookmarkStart w:id="40" w:name="last-mile-delivery"/>
    <w:p>
      <w:pPr>
        <w:pStyle w:val="Heading4"/>
      </w:pPr>
      <w:r>
        <w:t xml:space="preserve">4.3.2 Last-Mile Delivery</w:t>
      </w:r>
    </w:p>
    <w:p>
      <w:pPr>
        <w:numPr>
          <w:ilvl w:val="0"/>
          <w:numId w:val="1007"/>
        </w:numPr>
        <w:pStyle w:val="Compact"/>
      </w:pPr>
      <w:r>
        <w:rPr>
          <w:bCs/>
          <w:b/>
        </w:rPr>
        <w:t xml:space="preserve">Last-Mile Delivery Channel:</w:t>
      </w:r>
      <w:r>
        <w:t xml:space="preserve"> </w:t>
      </w:r>
      <w:r>
        <w:t xml:space="preserve">Delivery Type (Road - Light Commercial Vehicle)</w:t>
      </w:r>
    </w:p>
    <w:p>
      <w:pPr>
        <w:numPr>
          <w:ilvl w:val="0"/>
          <w:numId w:val="1007"/>
        </w:numPr>
        <w:pStyle w:val="Compact"/>
      </w:pPr>
      <w:r>
        <w:t xml:space="preserve">Assumed Last-Mile Distance: 50 km (representative average)</w:t>
      </w:r>
    </w:p>
    <w:p>
      <w:pPr>
        <w:pStyle w:val="FirstParagraph"/>
      </w:pPr>
      <w:r>
        <w:t xml:space="preserve">Road (Light Commercial Vehicle) Emission Factor: 0.2 kg CO2e/tonne-km (Consultant estimate, aligned with general road freight adjusted for LCV) [22, 39].</w:t>
      </w:r>
    </w:p>
    <w:p>
      <w:pPr>
        <w:numPr>
          <w:ilvl w:val="0"/>
          <w:numId w:val="1008"/>
        </w:numPr>
        <w:pStyle w:val="Compact"/>
      </w:pPr>
      <w:r>
        <w:rPr>
          <w:bCs/>
          <w:b/>
        </w:rPr>
        <w:t xml:space="preserve">Calculated Emissions (Scope 3):</w:t>
      </w:r>
      <w:r>
        <w:t xml:space="preserve"> </w:t>
      </w:r>
      <w:r>
        <w:t xml:space="preserve">(0.8 kg / 1000 kg/tonne) * 50 km * 0.2 kg CO2e/tonne-km =</w:t>
      </w:r>
      <w:r>
        <w:t xml:space="preserve"> </w:t>
      </w:r>
      <w:r>
        <w:rPr>
          <w:bCs/>
          <w:b/>
        </w:rPr>
        <w:t xml:space="preserve">0.008 kg CO2e/unit</w:t>
      </w:r>
    </w:p>
    <w:bookmarkEnd w:id="40"/>
    <w:bookmarkEnd w:id="41"/>
    <w:bookmarkStart w:id="42" w:name="use-phase"/>
    <w:p>
      <w:pPr>
        <w:pStyle w:val="Heading3"/>
      </w:pPr>
      <w:r>
        <w:t xml:space="preserve">4.4 Use Phase</w:t>
      </w:r>
    </w:p>
    <w:p>
      <w:pPr>
        <w:pStyle w:val="FirstParagraph"/>
      </w:pPr>
      <w:r>
        <w:t xml:space="preserve">The energy consumption during the product\'s use phase contributes significantly to its downstream Scope 3 emissions.</w:t>
      </w:r>
    </w:p>
    <w:p>
      <w:pPr>
        <w:numPr>
          <w:ilvl w:val="0"/>
          <w:numId w:val="1009"/>
        </w:numPr>
        <w:pStyle w:val="Compact"/>
      </w:pPr>
      <w:r>
        <w:rPr>
          <w:bCs/>
          <w:b/>
        </w:rPr>
        <w:t xml:space="preserve">Product Lifespan:</w:t>
      </w:r>
      <w:r>
        <w:t xml:space="preserve"> </w:t>
      </w:r>
      <w:r>
        <w:t xml:space="preserve">mvddfzvjqf (5 years)</w:t>
      </w:r>
    </w:p>
    <w:p>
      <w:pPr>
        <w:numPr>
          <w:ilvl w:val="0"/>
          <w:numId w:val="1009"/>
        </w:numPr>
        <w:pStyle w:val="Compact"/>
      </w:pPr>
      <w:r>
        <w:rPr>
          <w:bCs/>
          <w:b/>
        </w:rPr>
        <w:t xml:space="preserve">Energy Consumption in Use:</w:t>
      </w:r>
      <w:r>
        <w:t xml:space="preserve"> </w:t>
      </w:r>
      <w:r>
        <w:t xml:space="preserve">uojmyuzplv (10 kWh/year)</w:t>
      </w:r>
    </w:p>
    <w:p>
      <w:pPr>
        <w:pStyle w:val="FirstParagraph"/>
      </w:pPr>
      <w:r>
        <w:t xml:space="preserve">Total energy consumed over lifespan = 10 kWh/year * 5 years = 50 kWh.</w:t>
      </w:r>
    </w:p>
    <w:p>
      <w:pPr>
        <w:pStyle w:val="BodyText"/>
      </w:pPr>
      <w:r>
        <w:t xml:space="preserve">Assuming an average global electricity grid mix for consumer use.</w:t>
      </w:r>
    </w:p>
    <w:p>
      <w:pPr>
        <w:numPr>
          <w:ilvl w:val="0"/>
          <w:numId w:val="1010"/>
        </w:numPr>
        <w:pStyle w:val="Compact"/>
      </w:pPr>
      <w:r>
        <w:t xml:space="preserve">Global Average Grid Emission Factor: 0.4 kg CO2e/kWh (Source: IEA forecast 2027) [48]</w:t>
      </w:r>
    </w:p>
    <w:p>
      <w:pPr>
        <w:numPr>
          <w:ilvl w:val="0"/>
          <w:numId w:val="1010"/>
        </w:numPr>
        <w:pStyle w:val="Compact"/>
      </w:pPr>
      <w:r>
        <w:rPr>
          <w:bCs/>
          <w:b/>
        </w:rPr>
        <w:t xml:space="preserve">Calculated Emissions (Scope 3):</w:t>
      </w:r>
      <w:r>
        <w:t xml:space="preserve"> </w:t>
      </w:r>
      <w:r>
        <w:t xml:space="preserve">50 kWh * 0.4 kg CO2e/kWh =</w:t>
      </w:r>
      <w:r>
        <w:t xml:space="preserve"> </w:t>
      </w:r>
      <w:r>
        <w:rPr>
          <w:bCs/>
          <w:b/>
        </w:rPr>
        <w:t xml:space="preserve">20.0 kg CO2e/unit</w:t>
      </w:r>
    </w:p>
    <w:bookmarkEnd w:id="42"/>
    <w:bookmarkStart w:id="43" w:name="end-of-life-eol"/>
    <w:p>
      <w:pPr>
        <w:pStyle w:val="Heading3"/>
      </w:pPr>
      <w:r>
        <w:t xml:space="preserve">4.5 End-of-Life (EoL)</w:t>
      </w:r>
    </w:p>
    <w:p>
      <w:pPr>
        <w:pStyle w:val="FirstParagraph"/>
      </w:pPr>
      <w:r>
        <w:t xml:space="preserve">End-of-Life scenarios for the product consider both recyclability and circular economy initiatives (Scope 3, Category 12). The total material weight considered for EoL is 0.8 kg (approximating total BOM mass).</w:t>
      </w:r>
    </w:p>
    <w:p>
      <w:pPr>
        <w:numPr>
          <w:ilvl w:val="0"/>
          <w:numId w:val="1011"/>
        </w:numPr>
        <w:pStyle w:val="Compact"/>
      </w:pPr>
      <w:r>
        <w:rPr>
          <w:bCs/>
          <w:b/>
        </w:rPr>
        <w:t xml:space="preserve">Recyclability Percentage:</w:t>
      </w:r>
      <w:r>
        <w:t xml:space="preserve"> </w:t>
      </w:r>
      <w:r>
        <w:t xml:space="preserve">utlseyefwv (70%)</w:t>
      </w:r>
    </w:p>
    <w:p>
      <w:pPr>
        <w:numPr>
          <w:ilvl w:val="0"/>
          <w:numId w:val="1011"/>
        </w:numPr>
        <w:pStyle w:val="Compact"/>
      </w:pPr>
      <w:r>
        <w:rPr>
          <w:bCs/>
          <w:b/>
        </w:rPr>
        <w:t xml:space="preserve">Circular/Take-back Programs:</w:t>
      </w:r>
      <w:r>
        <w:t xml:space="preserve"> </w:t>
      </w:r>
      <w:r>
        <w:t xml:space="preserve">wsxplmwvze (Yes, company-managed return and refurbishment program)</w:t>
      </w:r>
    </w:p>
    <w:p>
      <w:pPr>
        <w:pStyle w:val="FirstParagraph"/>
      </w:pPr>
      <w:r>
        <w:t xml:space="preserve">Due to the presence of a strong circular/take-back program and high recyclability, a significant recycling credit is applied for the recycled portion, representing avoided emissions from virgin material production [30, 31]. The remaining portion is assumed to be landfilled.</w:t>
      </w:r>
    </w:p>
    <w:p>
      <w:pPr>
        <w:numPr>
          <w:ilvl w:val="0"/>
          <w:numId w:val="1012"/>
        </w:numPr>
        <w:pStyle w:val="Compact"/>
      </w:pPr>
      <w:r>
        <w:t xml:space="preserve">Recycled portion: 0.8 kg * 70% = 0.56 kg</w:t>
      </w:r>
    </w:p>
    <w:p>
      <w:pPr>
        <w:numPr>
          <w:ilvl w:val="0"/>
          <w:numId w:val="1012"/>
        </w:numPr>
        <w:pStyle w:val="Compact"/>
      </w:pPr>
      <w:r>
        <w:t xml:space="preserve">Non-recycled (landfilled) portion: 0.8 kg * (1 - 70%) = 0.24 kg</w:t>
      </w:r>
    </w:p>
    <w:p>
      <w:pPr>
        <w:pStyle w:val="FirstParagraph"/>
      </w:pPr>
      <w:r>
        <w:t xml:space="preserve">Emission Factors for End-of-Life:</w:t>
      </w:r>
    </w:p>
    <w:p>
      <w:pPr>
        <w:numPr>
          <w:ilvl w:val="0"/>
          <w:numId w:val="1013"/>
        </w:numPr>
        <w:pStyle w:val="Compact"/>
      </w:pPr>
      <w:r>
        <w:t xml:space="preserve">Recycling Credit (for displaced virgin plastic/metal): -1.5 kg CO2e/kg (Consultant estimate based on significant savings from recycling various materials) [9, 27, 30, 31].</w:t>
      </w:r>
    </w:p>
    <w:p>
      <w:pPr>
        <w:numPr>
          <w:ilvl w:val="0"/>
          <w:numId w:val="1013"/>
        </w:numPr>
        <w:pStyle w:val="Compact"/>
      </w:pPr>
      <w:r>
        <w:t xml:space="preserve">Landfill (for mixed waste plastic): 0.033 kg CO2e/kg (Source: Terrascope/EPA for plastic waste landfill) [9, 14, 16].</w:t>
      </w:r>
    </w:p>
    <w:p>
      <w:pPr>
        <w:numPr>
          <w:ilvl w:val="0"/>
          <w:numId w:val="1014"/>
        </w:numPr>
        <w:pStyle w:val="Compact"/>
      </w:pPr>
      <w:r>
        <w:rPr>
          <w:bCs/>
          <w:b/>
        </w:rPr>
        <w:t xml:space="preserve">Calculated Emissions/Credits from Recycling:</w:t>
      </w:r>
      <w:r>
        <w:t xml:space="preserve"> </w:t>
      </w:r>
      <w:r>
        <w:t xml:space="preserve">0.56 kg * -1.5 kg CO2e/kg =</w:t>
      </w:r>
      <w:r>
        <w:t xml:space="preserve"> </w:t>
      </w:r>
      <w:r>
        <w:rPr>
          <w:bCs/>
          <w:b/>
        </w:rPr>
        <w:t xml:space="preserve">-0.84 kg CO2e/unit</w:t>
      </w:r>
    </w:p>
    <w:p>
      <w:pPr>
        <w:numPr>
          <w:ilvl w:val="0"/>
          <w:numId w:val="1014"/>
        </w:numPr>
        <w:pStyle w:val="Compact"/>
      </w:pPr>
      <w:r>
        <w:rPr>
          <w:bCs/>
          <w:b/>
        </w:rPr>
        <w:t xml:space="preserve">Calculated Emissions from Landfill:</w:t>
      </w:r>
      <w:r>
        <w:t xml:space="preserve"> </w:t>
      </w:r>
      <w:r>
        <w:t xml:space="preserve">0.24 kg * 0.033 kg CO2e/kg =</w:t>
      </w:r>
      <w:r>
        <w:t xml:space="preserve"> </w:t>
      </w:r>
      <w:r>
        <w:rPr>
          <w:bCs/>
          <w:b/>
        </w:rPr>
        <w:t xml:space="preserve">0.00792 kg CO2e/unit</w:t>
      </w:r>
    </w:p>
    <w:p>
      <w:pPr>
        <w:numPr>
          <w:ilvl w:val="0"/>
          <w:numId w:val="1014"/>
        </w:numPr>
        <w:pStyle w:val="Compact"/>
      </w:pPr>
      <w:r>
        <w:rPr>
          <w:bCs/>
          <w:b/>
        </w:rPr>
        <w:t xml:space="preserve">Net EoL Emissions (Scope 3):</w:t>
      </w:r>
      <w:r>
        <w:t xml:space="preserve"> </w:t>
      </w:r>
      <w:r>
        <w:t xml:space="preserve">-0.84 + 0.00792 =</w:t>
      </w:r>
      <w:r>
        <w:t xml:space="preserve"> </w:t>
      </w:r>
      <w:r>
        <w:rPr>
          <w:bCs/>
          <w:b/>
        </w:rPr>
        <w:t xml:space="preserve">-0.83 kg CO2e/unit</w:t>
      </w:r>
      <w:r>
        <w:t xml:space="preserve"> </w:t>
      </w:r>
      <w:r>
        <w:t xml:space="preserve">(rounded)</w:t>
      </w:r>
    </w:p>
    <w:bookmarkEnd w:id="43"/>
    <w:bookmarkEnd w:id="44"/>
    <w:p>
      <w:r>
        <w:pict>
          <v:rect style="width:0;height:1.5pt" o:hralign="center" o:hrstd="t" o:hr="t"/>
        </w:pict>
      </w:r>
    </w:p>
    <w:bookmarkStart w:id="48" w:name="Xd857df668eaf57a3a4d79443063d4f04a191195"/>
    <w:p>
      <w:pPr>
        <w:pStyle w:val="Heading2"/>
      </w:pPr>
      <w:r>
        <w:t xml:space="preserve">5.0 Emission Calculation and Hotspot Analysis</w:t>
      </w:r>
    </w:p>
    <w:bookmarkStart w:id="45" w:name="summary-of-emissions-by-lifecycle-stage"/>
    <w:p>
      <w:pPr>
        <w:pStyle w:val="Heading3"/>
      </w:pPr>
      <w:r>
        <w:t xml:space="preserve">5.1 Summary of Emissions by Lifecycle Stage</w:t>
      </w:r>
    </w:p>
    <w:p>
      <w:pPr>
        <w:pStyle w:val="FirstParagraph"/>
      </w:pPr>
      <w:r>
        <w:t xml:space="preserve">The total Product Carbon Footprint for one functional unit of ihwvloglqe is calculated by summing the emissions from all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5.90</w:t>
            </w:r>
          </w:p>
        </w:tc>
        <w:tc>
          <w:tcPr/>
          <w:p>
            <w:pPr>
              <w:pStyle w:val="Compact"/>
              <w:jc w:val="left"/>
            </w:pPr>
            <w:r>
              <w:t xml:space="preserve">22.14%</w:t>
            </w:r>
          </w:p>
        </w:tc>
      </w:tr>
      <w:tr>
        <w:tc>
          <w:tcPr/>
          <w:p>
            <w:pPr>
              <w:pStyle w:val="Compact"/>
              <w:jc w:val="left"/>
            </w:pPr>
            <w:r>
              <w:t xml:space="preserve">Production Energy (Factory)</w:t>
            </w:r>
          </w:p>
        </w:tc>
        <w:tc>
          <w:tcPr/>
          <w:p>
            <w:pPr>
              <w:pStyle w:val="Compact"/>
              <w:jc w:val="left"/>
            </w:pPr>
            <w:r>
              <w:t xml:space="preserve">Scope 2</w:t>
            </w:r>
          </w:p>
        </w:tc>
        <w:tc>
          <w:tcPr/>
          <w:p>
            <w:pPr>
              <w:pStyle w:val="Compact"/>
              <w:jc w:val="left"/>
            </w:pPr>
            <w:r>
              <w:t xml:space="preserve">1.44</w:t>
            </w:r>
          </w:p>
        </w:tc>
        <w:tc>
          <w:tcPr/>
          <w:p>
            <w:pPr>
              <w:pStyle w:val="Compact"/>
              <w:jc w:val="left"/>
            </w:pPr>
            <w:r>
              <w:t xml:space="preserve">5.40%</w:t>
            </w:r>
          </w:p>
        </w:tc>
      </w:tr>
      <w:tr>
        <w:tc>
          <w:tcPr/>
          <w:p>
            <w:pPr>
              <w:pStyle w:val="Compact"/>
              <w:jc w:val="left"/>
            </w:pPr>
            <w:r>
              <w:t xml:space="preserve">Transport (Upstream)</w:t>
            </w:r>
          </w:p>
        </w:tc>
        <w:tc>
          <w:tcPr/>
          <w:p>
            <w:pPr>
              <w:pStyle w:val="Compact"/>
              <w:jc w:val="left"/>
            </w:pPr>
            <w:r>
              <w:t xml:space="preserve">Scope 3 (Category 4)</w:t>
            </w:r>
          </w:p>
        </w:tc>
        <w:tc>
          <w:tcPr/>
          <w:p>
            <w:pPr>
              <w:pStyle w:val="Compact"/>
              <w:jc w:val="left"/>
            </w:pPr>
            <w:r>
              <w:t xml:space="preserve">0.13</w:t>
            </w:r>
          </w:p>
        </w:tc>
        <w:tc>
          <w:tcPr/>
          <w:p>
            <w:pPr>
              <w:pStyle w:val="Compact"/>
              <w:jc w:val="left"/>
            </w:pPr>
            <w:r>
              <w:t xml:space="preserve">0.49%</w:t>
            </w:r>
          </w:p>
        </w:tc>
      </w:tr>
      <w:tr>
        <w:tc>
          <w:tcPr/>
          <w:p>
            <w:pPr>
              <w:pStyle w:val="Compact"/>
              <w:jc w:val="left"/>
            </w:pPr>
            <w:r>
              <w:t xml:space="preserve">Transport (Last-Mile)</w:t>
            </w:r>
          </w:p>
        </w:tc>
        <w:tc>
          <w:tcPr/>
          <w:p>
            <w:pPr>
              <w:pStyle w:val="Compact"/>
              <w:jc w:val="left"/>
            </w:pPr>
            <w:r>
              <w:t xml:space="preserve">Scope 3 (Category 9)</w:t>
            </w:r>
          </w:p>
        </w:tc>
        <w:tc>
          <w:tcPr/>
          <w:p>
            <w:pPr>
              <w:pStyle w:val="Compact"/>
              <w:jc w:val="left"/>
            </w:pPr>
            <w:r>
              <w:t xml:space="preserve">0.01</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75.06%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-0.83</w:t>
            </w:r>
          </w:p>
        </w:tc>
        <w:tc>
          <w:tcPr/>
          <w:p>
            <w:pPr>
              <w:pStyle w:val="Compact"/>
              <w:jc w:val="left"/>
            </w:pPr>
            <w:r>
              <w:t xml:space="preserve">-3.11%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26.65</w:t>
            </w:r>
          </w:p>
        </w:tc>
        <w:tc>
          <w:tcPr/>
          <w:p>
            <w:pPr>
              <w:pStyle w:val="Compact"/>
              <w:jc w:val="left"/>
            </w:pPr>
            <w:r>
              <w:rPr>
                <w:bCs/>
                <w:b/>
              </w:rPr>
              <w:t xml:space="preserve">100.00%</w:t>
            </w:r>
          </w:p>
        </w:tc>
      </w:tr>
    </w:tbl>
    <w:bookmarkEnd w:id="45"/>
    <w:bookmarkStart w:id="46" w:name="emissions-by-ghg-protocol-scope"/>
    <w:p>
      <w:pPr>
        <w:pStyle w:val="Heading3"/>
      </w:pPr>
      <w:r>
        <w:t xml:space="preserve">5.2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1.44</w:t>
            </w:r>
          </w:p>
        </w:tc>
        <w:tc>
          <w:tcPr/>
          <w:p>
            <w:pPr>
              <w:pStyle w:val="Compact"/>
              <w:jc w:val="left"/>
            </w:pPr>
            <w:r>
              <w:t xml:space="preserve">5.40%</w:t>
            </w:r>
          </w:p>
        </w:tc>
      </w:tr>
      <w:tr>
        <w:tc>
          <w:tcPr/>
          <w:p>
            <w:pPr>
              <w:pStyle w:val="Compact"/>
              <w:jc w:val="left"/>
            </w:pPr>
            <w:r>
              <w:t xml:space="preserve">Scope 3 (Value Chain Emissions)</w:t>
            </w:r>
          </w:p>
        </w:tc>
        <w:tc>
          <w:tcPr/>
          <w:p>
            <w:pPr>
              <w:pStyle w:val="Compact"/>
              <w:jc w:val="left"/>
            </w:pPr>
            <w:r>
              <w:t xml:space="preserve">25.21</w:t>
            </w:r>
          </w:p>
        </w:tc>
        <w:tc>
          <w:tcPr/>
          <w:p>
            <w:pPr>
              <w:pStyle w:val="Compact"/>
              <w:jc w:val="left"/>
            </w:pPr>
            <w:r>
              <w:t xml:space="preserve">94.60%</w:t>
            </w:r>
          </w:p>
        </w:tc>
      </w:tr>
      <w:tr>
        <w:tc>
          <w:tcPr/>
          <w:p>
            <w:pPr>
              <w:pStyle w:val="Compact"/>
              <w:jc w:val="left"/>
            </w:pPr>
            <w:r>
              <w:rPr>
                <w:bCs/>
                <w:b/>
              </w:rPr>
              <w:t xml:space="preserve">Total Product Carbon Footprint</w:t>
            </w:r>
          </w:p>
        </w:tc>
        <w:tc>
          <w:tcPr/>
          <w:p>
            <w:pPr>
              <w:pStyle w:val="Compact"/>
              <w:jc w:val="left"/>
            </w:pPr>
            <w:r>
              <w:rPr>
                <w:bCs/>
                <w:b/>
              </w:rPr>
              <w:t xml:space="preserve">26.65</w:t>
            </w:r>
          </w:p>
        </w:tc>
        <w:tc>
          <w:tcPr/>
          <w:p>
            <w:pPr>
              <w:pStyle w:val="Compact"/>
              <w:jc w:val="left"/>
            </w:pPr>
            <w:r>
              <w:rPr>
                <w:bCs/>
                <w:b/>
              </w:rPr>
              <w:t xml:space="preserve">100.00%</w:t>
            </w:r>
          </w:p>
        </w:tc>
      </w:tr>
    </w:tbl>
    <w:p>
      <w:pPr>
        <w:pStyle w:val="BodyText"/>
      </w:pPr>
      <w:r>
        <w:rPr>
          <w:iCs/>
          <w:i/>
        </w:rPr>
        <w:t xml:space="preserve">Note: Scope 1 emissions are assumed to be zero for this analysis, as direct process emissions are considered negligible or embedded in material footprints.</w:t>
      </w:r>
    </w:p>
    <w:bookmarkEnd w:id="46"/>
    <w:bookmarkStart w:id="47" w:name="hotspot-identification"/>
    <w:p>
      <w:pPr>
        <w:pStyle w:val="Heading3"/>
      </w:pPr>
      <w:r>
        <w:t xml:space="preserve">5.3 Hotspot Identification</w:t>
      </w:r>
    </w:p>
    <w:p>
      <w:pPr>
        <w:pStyle w:val="FirstParagraph"/>
      </w:pPr>
      <w:r>
        <w:t xml:space="preserve">The analysis identifies the following key emission hotspots for ihwvloglqe:</w:t>
      </w:r>
    </w:p>
    <w:p>
      <w:pPr>
        <w:numPr>
          <w:ilvl w:val="0"/>
          <w:numId w:val="1015"/>
        </w:numPr>
        <w:pStyle w:val="Compact"/>
      </w:pPr>
      <w:r>
        <w:rPr>
          <w:bCs/>
          <w:b/>
        </w:rPr>
        <w:t xml:space="preserve">Use Phase (75.06%):</w:t>
      </w:r>
      <w:r>
        <w:t xml:space="preserve"> </w:t>
      </w:r>
      <w:r>
        <w:t xml:space="preserve">The vast majority of the product\'s carbon footprint is attributed to the energy consumption during its 5-year lifespan. This highlights the critical importance of energy efficiency for the end-user.</w:t>
      </w:r>
    </w:p>
    <w:p>
      <w:pPr>
        <w:numPr>
          <w:ilvl w:val="0"/>
          <w:numId w:val="1015"/>
        </w:numPr>
        <w:pStyle w:val="Compact"/>
      </w:pPr>
      <w:r>
        <w:rPr>
          <w:bCs/>
          <w:b/>
        </w:rPr>
        <w:t xml:space="preserve">Materials Acquisition &amp; Manufacturing (22.14%):</w:t>
      </w:r>
      <w:r>
        <w:t xml:space="preserve"> </w:t>
      </w:r>
      <w:r>
        <w:t xml:space="preserve">The production of raw materials and their manufacturing processes represent the second largest contributor. Key materials like Aluminum, Circuit Boards, and Lithium-Ion Batteries have significant embedded emissions.</w:t>
      </w:r>
    </w:p>
    <w:p>
      <w:pPr>
        <w:numPr>
          <w:ilvl w:val="0"/>
          <w:numId w:val="1015"/>
        </w:numPr>
        <w:pStyle w:val="Compact"/>
      </w:pPr>
      <w:r>
        <w:rPr>
          <w:bCs/>
          <w:b/>
        </w:rPr>
        <w:t xml:space="preserve">Production Energy (5.40%):</w:t>
      </w:r>
      <w:r>
        <w:t xml:space="preserve"> </w:t>
      </w:r>
      <w:r>
        <w:t xml:space="preserve">While smaller than other stages, the energy used in the factory, particularly from non-renewable sources in China, contributes to the footprint.</w:t>
      </w:r>
    </w:p>
    <w:p>
      <w:pPr>
        <w:numPr>
          <w:ilvl w:val="0"/>
          <w:numId w:val="1015"/>
        </w:numPr>
        <w:pStyle w:val="Compact"/>
      </w:pPr>
      <w:r>
        <w:rPr>
          <w:bCs/>
          <w:b/>
        </w:rPr>
        <w:t xml:space="preserve">End-of-Life (-3.11%):</w:t>
      </w:r>
      <w:r>
        <w:t xml:space="preserve"> </w:t>
      </w:r>
      <w:r>
        <w:t xml:space="preserve">The strong recyclability and circular programs result in a net negative impact (credit) at end-of-life, demonstrating the positive effect of these initiatives.</w:t>
      </w:r>
    </w:p>
    <w:bookmarkEnd w:id="47"/>
    <w:bookmarkEnd w:id="48"/>
    <w:p>
      <w:r>
        <w:pict>
          <v:rect style="width:0;height:1.5pt" o:hralign="center" o:hrstd="t" o:hr="t"/>
        </w:pict>
      </w:r>
    </w:p>
    <w:bookmarkStart w:id="49" w:name="review-reliability"/>
    <w:p>
      <w:pPr>
        <w:pStyle w:val="Heading2"/>
      </w:pPr>
      <w:r>
        <w:t xml:space="preserve">6.0 Review &amp; Reliability</w:t>
      </w:r>
    </w:p>
    <w:p>
      <w:pPr>
        <w:pStyle w:val="FirstParagraph"/>
      </w:pPr>
      <w:r>
        <w:t xml:space="preserve">The reliability of this PCF analysis is influenced by the data quality and assumptions made. While the use of a detailed Bill of Materials (BOM) provides high accuracy for material impacts, secondary emission factors are used for certain processes (e.g., transport, EoL) where product-specific primary data was not available. All efforts have been made to select industry-standard and up-to-date emission factors (e.g., from Climatiq/BEIS, IEA, EPA, consultant estimates for specific vehicle types) to ensure the robustness of the calculations. The analysis adheres to the 95% Scope 3 coverage requirement, ensuring comprehensive reporting.</w:t>
      </w:r>
    </w:p>
    <w:bookmarkEnd w:id="49"/>
    <w:bookmarkStart w:id="50" w:name="recommendations"/>
    <w:p>
      <w:pPr>
        <w:pStyle w:val="Heading2"/>
      </w:pPr>
      <w:r>
        <w:t xml:space="preserve">7.0 Recommendations</w:t>
      </w:r>
    </w:p>
    <w:p>
      <w:pPr>
        <w:pStyle w:val="FirstParagraph"/>
      </w:pPr>
      <w:r>
        <w:t xml:space="preserve">Based on the identified hotspots, fwuggujzio can focus its decarbonization efforts on the following areas:</w:t>
      </w:r>
    </w:p>
    <w:p>
      <w:pPr>
        <w:numPr>
          <w:ilvl w:val="0"/>
          <w:numId w:val="1016"/>
        </w:numPr>
        <w:pStyle w:val="Compact"/>
      </w:pPr>
      <w:r>
        <w:rPr>
          <w:bCs/>
          <w:b/>
        </w:rPr>
        <w:t xml:space="preserve">Optimize Use Phase Energy Efficiency:</w:t>
      </w:r>
      <w:r>
        <w:t xml:space="preserve"> </w:t>
      </w:r>
      <w:r>
        <w:t xml:space="preserve">Redesign ihwvloglqe for significantly lower energy consumption during its operational lifespan. Provide clear guidance to users on energy-efficient usage.</w:t>
      </w:r>
    </w:p>
    <w:p>
      <w:pPr>
        <w:numPr>
          <w:ilvl w:val="0"/>
          <w:numId w:val="1016"/>
        </w:numPr>
        <w:pStyle w:val="Compact"/>
      </w:pPr>
      <w:r>
        <w:rPr>
          <w:bCs/>
          <w:b/>
        </w:rPr>
        <w:t xml:space="preserve">Source Low-Carbon Materials:</w:t>
      </w:r>
      <w:r>
        <w:t xml:space="preserve"> </w:t>
      </w:r>
      <w:r>
        <w:t xml:space="preserve">Explore suppliers for aluminum, circuit boards, and batteries that can provide primary data demonstrating lower carbon footprints or increased recycled content. Leverage the 2026 GHG Protocol Scope 3 data disaggregation requirements to prioritize engaging with suppliers for primary data [12].</w:t>
      </w:r>
    </w:p>
    <w:p>
      <w:pPr>
        <w:numPr>
          <w:ilvl w:val="0"/>
          <w:numId w:val="1016"/>
        </w:numPr>
        <w:pStyle w:val="Compact"/>
      </w:pPr>
      <w:r>
        <w:rPr>
          <w:bCs/>
          <w:b/>
        </w:rPr>
        <w:t xml:space="preserve">Enhance Renewable Energy in Production:</w:t>
      </w:r>
      <w:r>
        <w:t xml:space="preserve"> </w:t>
      </w:r>
      <w:r>
        <w:t xml:space="preserve">Increase the percentage of renewable energy used at the manufacturing facility in China. Consider investing in renewable energy certificates or on-site generation.</w:t>
      </w:r>
    </w:p>
    <w:p>
      <w:pPr>
        <w:numPr>
          <w:ilvl w:val="0"/>
          <w:numId w:val="1016"/>
        </w:numPr>
        <w:pStyle w:val="Compact"/>
      </w:pPr>
      <w:r>
        <w:rPr>
          <w:bCs/>
          <w:b/>
        </w:rPr>
        <w:t xml:space="preserve">Strengthen Circular Economy Initiatives:</w:t>
      </w:r>
      <w:r>
        <w:t xml:space="preserve"> </w:t>
      </w:r>
      <w:r>
        <w:t xml:space="preserve">Continue to promote and expand take-back and refurbishment programs (wsxplmwvze). Explore innovative recycling technologies to further improve recyclability percentages (utlseyefwv) and maximize material recovery.</w:t>
      </w:r>
    </w:p>
    <w:p>
      <w:pPr>
        <w:numPr>
          <w:ilvl w:val="0"/>
          <w:numId w:val="1016"/>
        </w:numPr>
        <w:pStyle w:val="Compact"/>
      </w:pPr>
      <w:r>
        <w:rPr>
          <w:bCs/>
          <w:b/>
        </w:rPr>
        <w:t xml:space="preserve">Logistics Optimization:</w:t>
      </w:r>
      <w:r>
        <w:t xml:space="preserve"> </w:t>
      </w:r>
      <w:r>
        <w:t xml:space="preserve">Continuously optimize transport routes and modes, prioritizing lower-emission options where feasible, especially for long-distance shipping.</w:t>
      </w:r>
    </w:p>
    <w:bookmarkEnd w:id="50"/>
    <w:p>
      <w:r>
        <w:pict>
          <v:rect style="width:0;height:1.5pt" o:hralign="center" o:hrstd="t" o:hr="t"/>
        </w:pict>
      </w:r>
    </w:p>
    <w:bookmarkStart w:id="51" w:name="X5c72c1b0092fd23dcec078045617409ecc4440d"/>
    <w:p>
      <w:pPr>
        <w:pStyle w:val="Heading2"/>
      </w:pPr>
      <w:r>
        <w:t xml:space="preserve">Appendix A: Emission Factors Used (Illustrative &amp; Assumed)</w:t>
      </w:r>
    </w:p>
    <w:p>
      <w:pPr>
        <w:pStyle w:val="FirstParagraph"/>
      </w:pPr>
      <w:r>
        <w:t xml:space="preserve">The following key emission factors were used in this analysis. Specific emission factors for BOM items were provided in the \'poresron\' dataset.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Source/Basis</w:t>
            </w:r>
          </w:p>
        </w:tc>
      </w:tr>
      <w:tr>
        <w:tc>
          <w:tcPr/>
          <w:p>
            <w:pPr>
              <w:pStyle w:val="Compact"/>
              <w:jc w:val="left"/>
            </w:pPr>
            <w:r>
              <w:t xml:space="preserve">Electricity (Production)</w:t>
            </w:r>
          </w:p>
        </w:tc>
        <w:tc>
          <w:tcPr/>
          <w:p>
            <w:pPr>
              <w:pStyle w:val="Compact"/>
              <w:jc w:val="left"/>
            </w:pPr>
            <w:r>
              <w:t xml:space="preserve">China Grid Mix</w:t>
            </w:r>
          </w:p>
        </w:tc>
        <w:tc>
          <w:tcPr/>
          <w:p>
            <w:pPr>
              <w:pStyle w:val="Compact"/>
              <w:jc w:val="left"/>
            </w:pPr>
            <w:r>
              <w:t xml:space="preserve">0.577 kg CO2e/kWh</w:t>
            </w:r>
          </w:p>
        </w:tc>
        <w:tc>
          <w:tcPr/>
          <w:p>
            <w:pPr>
              <w:pStyle w:val="Compact"/>
              <w:jc w:val="left"/>
            </w:pPr>
            <w:r>
              <w:t xml:space="preserve">carbonfootprint.com (Oct 2025 data) [28, 37]</w:t>
            </w:r>
          </w:p>
        </w:tc>
      </w:tr>
      <w:tr>
        <w:tc>
          <w:tcPr/>
          <w:p>
            <w:pPr>
              <w:pStyle w:val="Compact"/>
              <w:jc w:val="left"/>
            </w:pPr>
            <w:r>
              <w:t xml:space="preserve">Electricity (Use Phase)</w:t>
            </w:r>
          </w:p>
        </w:tc>
        <w:tc>
          <w:tcPr/>
          <w:p>
            <w:pPr>
              <w:pStyle w:val="Compact"/>
              <w:jc w:val="left"/>
            </w:pPr>
            <w:r>
              <w:t xml:space="preserve">Global Average Grid Mix</w:t>
            </w:r>
          </w:p>
        </w:tc>
        <w:tc>
          <w:tcPr/>
          <w:p>
            <w:pPr>
              <w:pStyle w:val="Compact"/>
              <w:jc w:val="left"/>
            </w:pPr>
            <w:r>
              <w:t xml:space="preserve">0.4 kg CO2e/kWh</w:t>
            </w:r>
          </w:p>
        </w:tc>
        <w:tc>
          <w:tcPr/>
          <w:p>
            <w:pPr>
              <w:pStyle w:val="Compact"/>
              <w:jc w:val="left"/>
            </w:pPr>
            <w:r>
              <w:t xml:space="preserve">IEA forecast 2027 [48]</w:t>
            </w:r>
          </w:p>
        </w:tc>
      </w:tr>
      <w:tr>
        <w:tc>
          <w:tcPr/>
          <w:p>
            <w:pPr>
              <w:pStyle w:val="Compact"/>
              <w:jc w:val="left"/>
            </w:pPr>
            <w:r>
              <w:t xml:space="preserve">Transport (Upstream)</w:t>
            </w:r>
          </w:p>
        </w:tc>
        <w:tc>
          <w:tcPr/>
          <w:p>
            <w:pPr>
              <w:pStyle w:val="Compact"/>
              <w:jc w:val="left"/>
            </w:pPr>
            <w:r>
              <w:t xml:space="preserve">Ocean Freight (Container Ship)</w:t>
            </w:r>
          </w:p>
        </w:tc>
        <w:tc>
          <w:tcPr/>
          <w:p>
            <w:pPr>
              <w:pStyle w:val="Compact"/>
              <w:jc w:val="left"/>
            </w:pPr>
            <w:r>
              <w:t xml:space="preserve">0.016 kg CO2e/tonne-km</w:t>
            </w:r>
          </w:p>
        </w:tc>
        <w:tc>
          <w:tcPr/>
          <w:p>
            <w:pPr>
              <w:pStyle w:val="Compact"/>
              <w:jc w:val="left"/>
            </w:pPr>
            <w:r>
              <w:t xml:space="preserve">Climatiq (BEIS/Defra 2021 data) [23]</w:t>
            </w:r>
          </w:p>
        </w:tc>
      </w:tr>
      <w:tr>
        <w:tc>
          <w:tcPr/>
          <w:p>
            <w:pPr>
              <w:pStyle w:val="Compact"/>
              <w:jc w:val="left"/>
            </w:pPr>
            <w:r>
              <w:t xml:space="preserve">Transport (Last-Mile)</w:t>
            </w:r>
          </w:p>
        </w:tc>
        <w:tc>
          <w:tcPr/>
          <w:p>
            <w:pPr>
              <w:pStyle w:val="Compact"/>
              <w:jc w:val="left"/>
            </w:pPr>
            <w:r>
              <w:t xml:space="preserve">Road (Light Commercial Vehicle)</w:t>
            </w:r>
          </w:p>
        </w:tc>
        <w:tc>
          <w:tcPr/>
          <w:p>
            <w:pPr>
              <w:pStyle w:val="Compact"/>
              <w:jc w:val="left"/>
            </w:pPr>
            <w:r>
              <w:t xml:space="preserve">0.2 kg CO2e/tonne-km</w:t>
            </w:r>
          </w:p>
        </w:tc>
        <w:tc>
          <w:tcPr/>
          <w:p>
            <w:pPr>
              <w:pStyle w:val="Compact"/>
              <w:jc w:val="left"/>
            </w:pPr>
            <w:r>
              <w:t xml:space="preserve">Consultant Estimate (aligned with adjusted general road freight factors)</w:t>
            </w:r>
          </w:p>
        </w:tc>
      </w:tr>
      <w:tr>
        <w:tc>
          <w:tcPr/>
          <w:p>
            <w:pPr>
              <w:pStyle w:val="Compact"/>
              <w:jc w:val="left"/>
            </w:pPr>
            <w:r>
              <w:t xml:space="preserve">End-of-Life (Recycling)</w:t>
            </w:r>
          </w:p>
        </w:tc>
        <w:tc>
          <w:tcPr/>
          <w:p>
            <w:pPr>
              <w:pStyle w:val="Compact"/>
              <w:jc w:val="left"/>
            </w:pPr>
            <w:r>
              <w:t xml:space="preserve">Recycling Credit (e.g., for plastic)</w:t>
            </w:r>
          </w:p>
        </w:tc>
        <w:tc>
          <w:tcPr/>
          <w:p>
            <w:pPr>
              <w:pStyle w:val="Compact"/>
              <w:jc w:val="left"/>
            </w:pPr>
            <w:r>
              <w:t xml:space="preserve">-1.5 kg CO2e/kg</w:t>
            </w:r>
          </w:p>
        </w:tc>
        <w:tc>
          <w:tcPr/>
          <w:p>
            <w:pPr>
              <w:pStyle w:val="Compact"/>
              <w:jc w:val="left"/>
            </w:pPr>
            <w:r>
              <w:t xml:space="preserve">Consultant Estimate (reflecting avoided virgin production emissions) [9, 27, 30, 31]</w:t>
            </w:r>
          </w:p>
        </w:tc>
      </w:tr>
      <w:tr>
        <w:tc>
          <w:tcPr/>
          <w:p>
            <w:pPr>
              <w:pStyle w:val="Compact"/>
              <w:jc w:val="left"/>
            </w:pPr>
            <w:r>
              <w:t xml:space="preserve">End-of-Life (Landfill)</w:t>
            </w:r>
          </w:p>
        </w:tc>
        <w:tc>
          <w:tcPr/>
          <w:p>
            <w:pPr>
              <w:pStyle w:val="Compact"/>
              <w:jc w:val="left"/>
            </w:pPr>
            <w:r>
              <w:t xml:space="preserve">Landfill (e.g., for mixed waste plastic)</w:t>
            </w:r>
          </w:p>
        </w:tc>
        <w:tc>
          <w:tcPr/>
          <w:p>
            <w:pPr>
              <w:pStyle w:val="Compact"/>
              <w:jc w:val="left"/>
            </w:pPr>
            <w:r>
              <w:t xml:space="preserve">0.033 kg CO2e/kg</w:t>
            </w:r>
          </w:p>
        </w:tc>
        <w:tc>
          <w:tcPr/>
          <w:p>
            <w:pPr>
              <w:pStyle w:val="Compact"/>
              <w:jc w:val="left"/>
            </w:pPr>
            <w:r>
              <w:t xml:space="preserve">Terrascope/EPA (33 kg CO2e/tonne) [9, 14, 16]</w:t>
            </w:r>
          </w:p>
        </w:tc>
      </w:tr>
    </w:tbl>
    <w:p>
      <w:pPr>
        <w:pStyle w:val="BodyText"/>
      </w:pPr>
      <w:r>
        <w:rPr>
          <w:iCs/>
          <w:i/>
        </w:rPr>
        <w:t xml:space="preserve">All emission factors are subject to variation based on specific regional data, supplier-specific information, and ongoing updates in scientific literature and databases.</w:t>
      </w:r>
    </w:p>
    <w:bookmarkEnd w:id="51"/>
    <w:p>
      <w:pPr>
        <w:pStyle w:val="BodyText"/>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ihwvloglqe</dc:title>
  <dc:creator/>
  <dc:description>High-detail Product Carbon Footprint (PCF) analysis report for product ihwvloglqe by fwuggujzio, following GHG Protocol standards and 2026 updates, including materials, production, transport, use, and end-of-life phases.</dc:description>
  <dc:language>en</dc:language>
  <cp:keywords/>
  <dcterms:created xsi:type="dcterms:W3CDTF">2026-07-15T18:10:00Z</dcterms:created>
  <dcterms:modified xsi:type="dcterms:W3CDTF">2026-07-15T18:10:00Z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