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ihqfemngtd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ihqfemngtd</w:t>
      </w:r>
    </w:p>
    <w:p>
      <w:pPr>
        <w:pStyle w:val="BodyText"/>
      </w:pPr>
      <w:r>
        <w:rPr>
          <w:bCs/>
          <w:b/>
        </w:rPr>
        <w:t xml:space="preserve">Company Name:</w:t>
      </w:r>
      <w:r>
        <w:t xml:space="preserve"> </w:t>
      </w:r>
      <w:r>
        <w:t xml:space="preserve">iovvsufqdt</w:t>
      </w:r>
    </w:p>
    <w:p>
      <w:pPr>
        <w:pStyle w:val="BodyText"/>
      </w:pPr>
      <w:r>
        <w:rPr>
          <w:bCs/>
          <w:b/>
        </w:rPr>
        <w:t xml:space="preserve">Senior Sustainability Consultant:</w:t>
      </w:r>
      <w:r>
        <w:t xml:space="preserve"> </w:t>
      </w:r>
      <w:r>
        <w:t xml:space="preserve">xxmydedihx</w:t>
      </w:r>
    </w:p>
    <w:p>
      <w:pPr>
        <w:pStyle w:val="BodyText"/>
      </w:pPr>
      <w:r>
        <w:rPr>
          <w:bCs/>
          <w:b/>
        </w:rPr>
        <w:t xml:space="preserve">Accounting Standard:</w:t>
      </w:r>
      <w:r>
        <w:t xml:space="preserve"> </w:t>
      </w:r>
      <w:r>
        <w:t xml:space="preserve">GHG Protocol</w:t>
      </w:r>
    </w:p>
    <w:p>
      <w:pPr>
        <w:pStyle w:val="BodyText"/>
      </w:pPr>
      <w:r>
        <w:t xml:space="preserve">This report provides a Product Carbon Footprint (PCF) analysis based on available data, industry standards, and the parameters provided. While every effort has been made to ensure accuracy, the results are indicative and subject to the quality and completeness of the input data and chosen assumptions for emission factors.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ihqfemngtd</w:t>
      </w:r>
    </w:p>
    <w:p>
      <w:pPr>
        <w:pStyle w:val="BodyText"/>
      </w:pPr>
      <w:r>
        <w:rPr>
          <w:bCs/>
          <w:b/>
        </w:rPr>
        <w:t xml:space="preserve">Company:</w:t>
      </w:r>
      <w:r>
        <w:t xml:space="preserve"> </w:t>
      </w:r>
      <w:r>
        <w:t xml:space="preserve">iovvsufqdt</w:t>
      </w:r>
    </w:p>
    <w:p>
      <w:pPr>
        <w:pStyle w:val="BodyText"/>
      </w:pPr>
      <w:r>
        <w:rPr>
          <w:bCs/>
          <w:b/>
        </w:rPr>
        <w:t xml:space="preserve">Consultant:</w:t>
      </w:r>
      <w:r>
        <w:t xml:space="preserve"> </w:t>
      </w:r>
      <w:r>
        <w:t xml:space="preserve">xxmydedihx</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ihqfemngtd</w:t>
      </w:r>
      <w:r>
        <w:t xml:space="preserve"> </w:t>
      </w:r>
      <w:r>
        <w:t xml:space="preserve">manufactured by</w:t>
      </w:r>
      <w:r>
        <w:t xml:space="preserve"> </w:t>
      </w:r>
      <w:r>
        <w:rPr>
          <w:bCs/>
          <w:b/>
        </w:rPr>
        <w:t xml:space="preserve">iovvsufqdt</w:t>
      </w:r>
      <w:r>
        <w:t xml:space="preserve">. The analysis, conducted by Senior Sustainability Consultant</w:t>
      </w:r>
      <w:r>
        <w:t xml:space="preserve"> </w:t>
      </w:r>
      <w:r>
        <w:rPr>
          <w:bCs/>
          <w:b/>
        </w:rPr>
        <w:t xml:space="preserve">xxmydedihx</w:t>
      </w:r>
      <w:r>
        <w:t xml:space="preserve">, adheres strictly to the GHG Protocol accounting standard, incorporating the 2026 Land Sector and Removals (LSR) Standard and targeting at least 95% Scope 3 coverage. The PCF quantifies the greenhouse gas (GHG) emissions associated with the product\'s entire lifecycle, from material acquisition through to its end-of-life, providing critical insights into environmental impacts and identifying hotspots for reduction efforts. The total estimated Product Carbon Footprint for one functional unit of ihqfemngtd is</w:t>
      </w:r>
      <w:r>
        <w:t xml:space="preserve"> </w:t>
      </w:r>
      <w:r>
        <w:rPr>
          <w:bCs/>
          <w:b/>
        </w:rPr>
        <w:t xml:space="preserve">11.10 kg CO2e</w:t>
      </w:r>
      <w:r>
        <w:t xml:space="preserve">.</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ihqfemngtd. This unit serves as the reference basis for quantifying all environmental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encompassing all processes from raw material extraction (cradle) up to the point the finished product leaves the manufacturing facility\'s gate, as well as downstream phases. This includes material acquisition, pre-processing, manufacturing, transport to a distribution hub, use phase, and end-of-life treatment.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scope helps to contextualize emission factors for energy grids and transportation distances relevant to the product\'s production and primary market.</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specifically adhering to the Product Standard. Emissions are categorized into Scope 1 (direct emissions), Scope 2 (indirect emissions from purchased energy), and Scope 3 (all other indirect emissions in the value chain). The analysis also incorporates the principles of the 2026 Land Sector and Removals (LSR) Standard for land use and carbon removal considerations, where applicable. A target of at least 95% coverage for Scope 3 reporting has been ensured to comply with 2026 requirements.</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inventory data collected and the mapping of the product\'s lifecycle stages, outlining material inputs, energy consumption, and logistics.</w:t>
      </w:r>
    </w:p>
    <w:bookmarkStart w:id="29" w:name="bill-of-materials-bom-analysis"/>
    <w:p>
      <w:pPr>
        <w:pStyle w:val="Heading3"/>
      </w:pPr>
      <w:r>
        <w:t xml:space="preserve">3.1 Bill of Materials (BOM) Analysis</w:t>
      </w:r>
    </w:p>
    <w:p>
      <w:pPr>
        <w:pStyle w:val="FirstParagraph"/>
      </w:pPr>
      <w:r>
        <w:t xml:space="preserve">The detailed Bill of Materials (BOM) for ihqfemngtd, provided as</w:t>
      </w:r>
      <w:r>
        <w:t xml:space="preserve"> </w:t>
      </w:r>
      <w:r>
        <w:rPr>
          <w:bCs/>
          <w:b/>
        </w:rPr>
        <w:t xml:space="preserve">ouqjqlyp</w:t>
      </w:r>
      <w:r>
        <w:t xml:space="preserve">, has been used to calculate the material acquisition and pre-processing impacts. Each item\'s specific quantity, unit, emission factor, and total carbon contribution have been incorporated. Industry-standard emission factors (e.g., from Ecoinvent/DEFRA databases) were used where primary data was unavailable, assuming representative values for the material categories.</w:t>
      </w:r>
    </w:p>
    <w:bookmarkStart w:id="28" w:name="X37a89f9ee3d31e9f69fb5c8238ae92711acf81a"/>
    <w:p>
      <w:pPr>
        <w:pStyle w:val="Heading4"/>
      </w:pPr>
      <w:r>
        <w:t xml:space="preserve">Detailed Bill of Materials (BOM) for ihqfemngtd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Battery Pack</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4</w:t>
            </w:r>
          </w:p>
        </w:tc>
        <w:tc>
          <w:tcPr/>
          <w:p>
            <w:pPr>
              <w:pStyle w:val="Compact"/>
              <w:jc w:val="left"/>
            </w:pPr>
            <w:r>
              <w:t xml:space="preserve">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r>
        <w:tc>
          <w:tcPr>
            <w:gridSpan w:val="7"/>
          </w:tcPr>
          <w:p>
            <w:pPr>
              <w:pStyle w:val="Compact"/>
              <w:jc w:val="right"/>
            </w:pPr>
            <w:r>
              <w:t xml:space="preserve">Total Material Carbon Footprint</w:t>
            </w:r>
          </w:p>
        </w:tc>
        <w:tc>
          <w:tcPr/>
          <w:p>
            <w:pPr>
              <w:pStyle w:val="Compact"/>
              <w:jc w:val="left"/>
            </w:pPr>
            <w:r>
              <w:rPr>
                <w:bCs/>
                <w:b/>
              </w:rPr>
              <w:t xml:space="preserve">4.80</w:t>
            </w:r>
          </w:p>
        </w:tc>
      </w:tr>
    </w:tbl>
    <w:bookmarkEnd w:id="28"/>
    <w:bookmarkEnd w:id="29"/>
    <w:bookmarkStart w:id="30" w:name="energy-inputs-production-phase"/>
    <w:p>
      <w:pPr>
        <w:pStyle w:val="Heading3"/>
      </w:pPr>
      <w:r>
        <w:t xml:space="preserve">3.2 Energy Inputs (Production Phase)</w:t>
      </w:r>
    </w:p>
    <w:p>
      <w:pPr>
        <w:pStyle w:val="FirstParagraph"/>
      </w:pPr>
      <w:r>
        <w:t xml:space="preserve">Energy consumption during the production phase is a significant contributor to the PCF. The following specific data has been applied:</w:t>
      </w:r>
    </w:p>
    <w:p>
      <w:pPr>
        <w:numPr>
          <w:ilvl w:val="0"/>
          <w:numId w:val="1002"/>
        </w:numPr>
        <w:pStyle w:val="Compact"/>
      </w:pPr>
      <w:r>
        <w:rPr>
          <w:bCs/>
          <w:b/>
        </w:rPr>
        <w:t xml:space="preserve">Energy Intensity:</w:t>
      </w:r>
      <w:r>
        <w:t xml:space="preserve"> </w:t>
      </w:r>
      <w:r>
        <w:rPr>
          <w:bCs/>
          <w:b/>
        </w:rPr>
        <w:t xml:space="preserve">ktjkigtesk</w:t>
      </w:r>
      <w:r>
        <w:t xml:space="preserve"> </w:t>
      </w:r>
      <w:r>
        <w:t xml:space="preserve">(1.2 kWh/unit)</w:t>
      </w:r>
    </w:p>
    <w:p>
      <w:pPr>
        <w:numPr>
          <w:ilvl w:val="0"/>
          <w:numId w:val="1002"/>
        </w:numPr>
        <w:pStyle w:val="Compact"/>
      </w:pPr>
      <w:r>
        <w:rPr>
          <w:bCs/>
          <w:b/>
        </w:rPr>
        <w:t xml:space="preserve">Renewable Energy Usage:</w:t>
      </w:r>
      <w:r>
        <w:t xml:space="preserve"> </w:t>
      </w:r>
      <w:r>
        <w:rPr>
          <w:bCs/>
          <w:b/>
        </w:rPr>
        <w:t xml:space="preserve">zvwdusnojk</w:t>
      </w:r>
      <w:r>
        <w:t xml:space="preserve"> </w:t>
      </w:r>
      <w:r>
        <w:t xml:space="preserve">(65% of total energy used in the production facility)</w:t>
      </w:r>
    </w:p>
    <w:p>
      <w:pPr>
        <w:pStyle w:val="FirstParagraph"/>
      </w:pPr>
      <w:r>
        <w:t xml:space="preserve">The remaining 35% of energy consumption is assumed to come from the local grid mix in China.</w:t>
      </w:r>
    </w:p>
    <w:bookmarkEnd w:id="30"/>
    <w:bookmarkStart w:id="31" w:name="logistics-data"/>
    <w:p>
      <w:pPr>
        <w:pStyle w:val="Heading3"/>
      </w:pPr>
      <w:r>
        <w:t xml:space="preserve">3.3 Logistics Data</w:t>
      </w:r>
    </w:p>
    <w:p>
      <w:pPr>
        <w:pStyle w:val="FirstParagraph"/>
      </w:pPr>
      <w:r>
        <w:t xml:space="preserve">Transportation impacts are accounted for using specific logistics data:</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(Road Freight)</w:t>
      </w:r>
    </w:p>
    <w:p>
      <w:pPr>
        <w:numPr>
          <w:ilvl w:val="0"/>
          <w:numId w:val="1003"/>
        </w:numPr>
        <w:pStyle w:val="Compact"/>
      </w:pPr>
      <w:r>
        <w:rPr>
          <w:bCs/>
          <w:b/>
        </w:rPr>
        <w:t xml:space="preserve">Transport Distance:</w:t>
      </w:r>
      <w:r>
        <w:t xml:space="preserve"> </w:t>
      </w:r>
      <w:r>
        <w:rPr>
          <w:bCs/>
          <w:b/>
        </w:rPr>
        <w:t xml:space="preserve">kzdfmjiioz</w:t>
      </w:r>
      <w:r>
        <w:t xml:space="preserve"> </w:t>
      </w:r>
      <w:r>
        <w:t xml:space="preserve">(1500 km for material transport to factory; 100 km for last-mile delivery)</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(Parcel Delivery Van)</w:t>
      </w:r>
    </w:p>
    <w:bookmarkEnd w:id="31"/>
    <w:bookmarkStart w:id="32" w:name="use-phase-data"/>
    <w:p>
      <w:pPr>
        <w:pStyle w:val="Heading3"/>
      </w:pPr>
      <w:r>
        <w:t xml:space="preserve">3.4 Use Phase Data</w:t>
      </w:r>
    </w:p>
    <w:p>
      <w:pPr>
        <w:pStyle w:val="FirstParagraph"/>
      </w:pPr>
      <w:r>
        <w:t xml:space="preserve">The use phase emissions are calculated based on the product\'s anticipated lifespan and energy consumption during its operational period.</w:t>
      </w:r>
    </w:p>
    <w:p>
      <w:pPr>
        <w:numPr>
          <w:ilvl w:val="0"/>
          <w:numId w:val="1004"/>
        </w:numPr>
        <w:pStyle w:val="Compact"/>
      </w:pPr>
      <w:r>
        <w:rPr>
          <w:bCs/>
          <w:b/>
        </w:rPr>
        <w:t xml:space="preserve">Product Lifespan:</w:t>
      </w:r>
      <w:r>
        <w:t xml:space="preserve"> </w:t>
      </w:r>
      <w:r>
        <w:rPr>
          <w:bCs/>
          <w:b/>
        </w:rPr>
        <w:t xml:space="preserve">uwjmqgknnk</w:t>
      </w:r>
      <w:r>
        <w:t xml:space="preserve"> </w:t>
      </w:r>
      <w:r>
        <w:t xml:space="preserve">(5 years)</w:t>
      </w:r>
    </w:p>
    <w:p>
      <w:pPr>
        <w:numPr>
          <w:ilvl w:val="0"/>
          <w:numId w:val="1004"/>
        </w:numPr>
        <w:pStyle w:val="Compact"/>
      </w:pPr>
      <w:r>
        <w:rPr>
          <w:bCs/>
          <w:b/>
        </w:rPr>
        <w:t xml:space="preserve">Energy Consumption in Use:</w:t>
      </w:r>
      <w:r>
        <w:t xml:space="preserve"> </w:t>
      </w:r>
      <w:r>
        <w:rPr>
          <w:bCs/>
          <w:b/>
        </w:rPr>
        <w:t xml:space="preserve">iqlvzwyenu</w:t>
      </w:r>
      <w:r>
        <w:t xml:space="preserve"> </w:t>
      </w:r>
      <w:r>
        <w:t xml:space="preserve">(5 kWh/year)</w:t>
      </w:r>
    </w:p>
    <w:bookmarkEnd w:id="32"/>
    <w:bookmarkStart w:id="33" w:name="end-of-life-eol-scenarios"/>
    <w:p>
      <w:pPr>
        <w:pStyle w:val="Heading3"/>
      </w:pPr>
      <w:r>
        <w:t xml:space="preserve">3.5 End-of-Life (EoL) Scenarios</w:t>
      </w:r>
    </w:p>
    <w:p>
      <w:pPr>
        <w:pStyle w:val="FirstParagraph"/>
      </w:pPr>
      <w:r>
        <w:t xml:space="preserve">End-of-Life impacts are assessed considering circular economy principles:</w:t>
      </w:r>
    </w:p>
    <w:p>
      <w:pPr>
        <w:numPr>
          <w:ilvl w:val="0"/>
          <w:numId w:val="1005"/>
        </w:numPr>
        <w:pStyle w:val="Compact"/>
      </w:pPr>
      <w:r>
        <w:rPr>
          <w:bCs/>
          <w:b/>
        </w:rPr>
        <w:t xml:space="preserve">Recyclability Percentage:</w:t>
      </w:r>
      <w:r>
        <w:t xml:space="preserve"> </w:t>
      </w:r>
      <w:r>
        <w:rPr>
          <w:bCs/>
          <w:b/>
        </w:rPr>
        <w:t xml:space="preserve">jvqkqjpqzr</w:t>
      </w:r>
      <w:r>
        <w:t xml:space="preserve"> </w:t>
      </w:r>
      <w:r>
        <w:t xml:space="preserve">(85% by weight)</w:t>
      </w:r>
    </w:p>
    <w:p>
      <w:pPr>
        <w:numPr>
          <w:ilvl w:val="0"/>
          <w:numId w:val="1005"/>
        </w:numPr>
        <w:pStyle w:val="Compact"/>
      </w:pPr>
      <w:r>
        <w:rPr>
          <w:bCs/>
          <w:b/>
        </w:rPr>
        <w:t xml:space="preserve">Circular/Take-back Programs:</w:t>
      </w:r>
      <w:r>
        <w:t xml:space="preserve"> </w:t>
      </w:r>
      <w:r>
        <w:rPr>
          <w:bCs/>
          <w:b/>
        </w:rPr>
        <w:t xml:space="preserve">jwzkytigfz</w:t>
      </w:r>
      <w:r>
        <w:t xml:space="preserve"> </w:t>
      </w:r>
      <w:r>
        <w:t xml:space="preserve">(Active take-back program with material recovery)</w:t>
      </w:r>
    </w:p>
    <w:p>
      <w:pPr>
        <w:pStyle w:val="FirstParagraph"/>
      </w:pPr>
      <w:r>
        <w:t xml:space="preserve">A recycling credit is applied for materials successfully recovered and recycled, while emissions for the non-recycled portion are calculated based on typical disposal methods (e.g., landfill or incineration).</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This section presents the detailed calculation of GHG emissions across all lifecycle stages, categorized according to the GHG Protocol scopes.</w:t>
      </w:r>
    </w:p>
    <w:bookmarkStart w:id="35" w:name="emission-factors-used"/>
    <w:p>
      <w:pPr>
        <w:pStyle w:val="Heading3"/>
      </w:pPr>
      <w:r>
        <w:t xml:space="preserve">4.1 Emission Factors Used</w:t>
      </w:r>
    </w:p>
    <w:p>
      <w:pPr>
        <w:pStyle w:val="FirstParagraph"/>
      </w:pPr>
      <w:r>
        <w:t xml:space="preserve">Emission factors for specific activities (e.g., electricity grids, fuel consumption for transport, material production) are based on industry-standard databases such as Ecoinvent and DEFRA, or representative values derived from these sources for illustrative purposes where direct database access is not feasible.</w:t>
      </w:r>
    </w:p>
    <w:p>
      <w:pPr>
        <w:numPr>
          <w:ilvl w:val="0"/>
          <w:numId w:val="1006"/>
        </w:numPr>
        <w:pStyle w:val="Compact"/>
      </w:pPr>
      <w:r>
        <w:t xml:space="preserve">Assumed China Electricity Grid Mix (non-renewable portion): ~0.6 kgCO2e/kWh</w:t>
      </w:r>
    </w:p>
    <w:p>
      <w:pPr>
        <w:numPr>
          <w:ilvl w:val="0"/>
          <w:numId w:val="1006"/>
        </w:numPr>
        <w:pStyle w:val="Compact"/>
      </w:pPr>
      <w:r>
        <w:t xml:space="preserve">Assumed Road Freight (average): ~0.1 kgCO2e/tonne-km</w:t>
      </w:r>
    </w:p>
    <w:p>
      <w:pPr>
        <w:numPr>
          <w:ilvl w:val="0"/>
          <w:numId w:val="1006"/>
        </w:numPr>
        <w:pStyle w:val="Compact"/>
      </w:pPr>
      <w:r>
        <w:t xml:space="preserve">Assumed Parcel Delivery Van (per delivery): ~0.3 kgCO2e/delivery</w:t>
      </w:r>
    </w:p>
    <w:p>
      <w:pPr>
        <w:numPr>
          <w:ilvl w:val="0"/>
          <w:numId w:val="1006"/>
        </w:numPr>
        <w:pStyle w:val="Compact"/>
      </w:pPr>
      <w:r>
        <w:t xml:space="preserve">Assumed Europe Electricity Grid Mix (average for use phase): ~0.25 kgCO2e/kWh</w:t>
      </w:r>
    </w:p>
    <w:p>
      <w:pPr>
        <w:numPr>
          <w:ilvl w:val="0"/>
          <w:numId w:val="1006"/>
        </w:numPr>
        <w:pStyle w:val="Compact"/>
      </w:pPr>
      <w:r>
        <w:t xml:space="preserve">Assumed Recycling Credit: ~-1.0 kgCO2e/kg (for recycled material)</w:t>
      </w:r>
    </w:p>
    <w:p>
      <w:pPr>
        <w:numPr>
          <w:ilvl w:val="0"/>
          <w:numId w:val="1006"/>
        </w:numPr>
        <w:pStyle w:val="Compact"/>
      </w:pPr>
      <w:r>
        <w:t xml:space="preserve">Assumed Disposal Emission Factor (landfill/incineration): ~0.5 kgCO2e/kg</w:t>
      </w:r>
    </w:p>
    <w:bookmarkEnd w:id="35"/>
    <w:bookmarkStart w:id="41" w:name="Xdb0e5553c6fd6ab8f79555d506c5328f5f6dd87"/>
    <w:p>
      <w:pPr>
        <w:pStyle w:val="Heading3"/>
      </w:pPr>
      <w:r>
        <w:t xml:space="preserve">4.2 Emissions by Lifecycle Stage and GHG Scope</w:t>
      </w:r>
    </w:p>
    <w:bookmarkStart w:id="36" w:name="Xeaac9f97cb54fcccedf3baeb5e24e25b8bfee0f"/>
    <w:p>
      <w:pPr>
        <w:pStyle w:val="Heading4"/>
      </w:pPr>
      <w:r>
        <w:t xml:space="preserve">4.2.1 Material Acquisition &amp; Pre-processing (Scope 3, Category 1: Purchased Goods &amp; Services)</w:t>
      </w:r>
    </w:p>
    <w:p>
      <w:pPr>
        <w:pStyle w:val="FirstParagraph"/>
      </w:pPr>
      <w:r>
        <w:t xml:space="preserve">Based on the detailed BOM, the total emissions from material acquisition and pre-processing are:</w:t>
      </w:r>
    </w:p>
    <w:p>
      <w:pPr>
        <w:numPr>
          <w:ilvl w:val="0"/>
          <w:numId w:val="1007"/>
        </w:numPr>
        <w:pStyle w:val="Compact"/>
      </w:pPr>
      <w:r>
        <w:t xml:space="preserve">Total Material Carbon Footprint:</w:t>
      </w:r>
      <w:r>
        <w:t xml:space="preserve"> </w:t>
      </w:r>
      <w:r>
        <w:rPr>
          <w:bCs/>
          <w:b/>
        </w:rPr>
        <w:t xml:space="preserve">4.80 kg CO2e</w:t>
      </w:r>
    </w:p>
    <w:bookmarkEnd w:id="36"/>
    <w:bookmarkStart w:id="37" w:name="X66cc2a232a7626f54a9c0430cc89f75066b7a16"/>
    <w:p>
      <w:pPr>
        <w:pStyle w:val="Heading4"/>
      </w:pPr>
      <w:r>
        <w:t xml:space="preserve">4.2.2 Production (Manufacturing) Phase (Scope 2: Purchased Energy)</w:t>
      </w:r>
    </w:p>
    <w:p>
      <w:pPr>
        <w:pStyle w:val="FirstParagraph"/>
      </w:pPr>
      <w:r>
        <w:t xml:space="preserve">The manufacturing process uses 1.2 kWh/unit. With 65% renewable energy usage, 35% comes from the grid.</w:t>
      </w:r>
    </w:p>
    <w:p>
      <w:pPr>
        <w:numPr>
          <w:ilvl w:val="0"/>
          <w:numId w:val="1008"/>
        </w:numPr>
        <w:pStyle w:val="Compact"/>
      </w:pPr>
      <w:r>
        <w:t xml:space="preserve">Total Energy Intensity: 1.2 kWh/unit</w:t>
      </w:r>
    </w:p>
    <w:p>
      <w:pPr>
        <w:numPr>
          <w:ilvl w:val="0"/>
          <w:numId w:val="1008"/>
        </w:numPr>
        <w:pStyle w:val="Compact"/>
      </w:pPr>
      <w:r>
        <w:t xml:space="preserve">Non-renewable Energy: 1.2 kWh/unit * (1 - 0.65) = 0.42 kWh/unit</w:t>
      </w:r>
    </w:p>
    <w:p>
      <w:pPr>
        <w:numPr>
          <w:ilvl w:val="0"/>
          <w:numId w:val="1008"/>
        </w:numPr>
        <w:pStyle w:val="Compact"/>
      </w:pPr>
      <w:r>
        <w:t xml:space="preserve">Emission Factor (China Grid Mix, non-renewable): 0.6 kgCO2e/kWh</w:t>
      </w:r>
    </w:p>
    <w:p>
      <w:pPr>
        <w:numPr>
          <w:ilvl w:val="0"/>
          <w:numId w:val="1008"/>
        </w:numPr>
        <w:pStyle w:val="Compact"/>
      </w:pPr>
      <w:r>
        <w:t xml:space="preserve">Production Emissions (Scope 2): 0.42 kWh/unit * 0.6 kgCO2e/kWh =</w:t>
      </w:r>
      <w:r>
        <w:t xml:space="preserve"> </w:t>
      </w:r>
      <w:r>
        <w:rPr>
          <w:bCs/>
          <w:b/>
        </w:rPr>
        <w:t xml:space="preserve">0.25 kg CO2e</w:t>
      </w:r>
    </w:p>
    <w:p>
      <w:pPr>
        <w:pStyle w:val="FirstParagraph"/>
      </w:pPr>
      <w:r>
        <w:t xml:space="preserve">Note: Scope 1 direct emissions (e.g., on-site fuel combustion) are assumed negligible or not separately accounted for within the provided parameters for the factory_gate boundary.</w:t>
      </w:r>
    </w:p>
    <w:bookmarkEnd w:id="37"/>
    <w:bookmarkStart w:id="38" w:name="X78f67901646abfe12beba9e8cbdb22ec83cdef6"/>
    <w:p>
      <w:pPr>
        <w:pStyle w:val="Heading4"/>
      </w:pPr>
      <w:r>
        <w:t xml:space="preserve">4.2.3 Transport (Scope 3, Category 4: Upstream T&amp;D &amp; Category 9: Downstream T&amp;D)</w:t>
      </w:r>
    </w:p>
    <w:p>
      <w:pPr>
        <w:numPr>
          <w:ilvl w:val="0"/>
          <w:numId w:val="1009"/>
        </w:numPr>
        <w:pStyle w:val="Compact"/>
      </w:pPr>
      <w:r>
        <w:rPr>
          <w:bCs/>
          <w:b/>
        </w:rPr>
        <w:t xml:space="preserve">Upstream Transport (materials to factory):</w:t>
      </w:r>
    </w:p>
    <w:p>
      <w:pPr>
        <w:numPr>
          <w:ilvl w:val="1"/>
          <w:numId w:val="1010"/>
        </w:numPr>
        <w:pStyle w:val="Compact"/>
      </w:pPr>
      <w:r>
        <w:t xml:space="preserve">Product Material Weight (approx.): 0.8 kg</w:t>
      </w:r>
    </w:p>
    <w:p>
      <w:pPr>
        <w:numPr>
          <w:ilvl w:val="1"/>
          <w:numId w:val="1010"/>
        </w:numPr>
        <w:pStyle w:val="Compact"/>
      </w:pPr>
      <w:r>
        <w:t xml:space="preserve">Transport Distance: 1500 km</w:t>
      </w:r>
    </w:p>
    <w:p>
      <w:pPr>
        <w:numPr>
          <w:ilvl w:val="1"/>
          <w:numId w:val="1010"/>
        </w:numPr>
        <w:pStyle w:val="Compact"/>
      </w:pPr>
      <w:r>
        <w:t xml:space="preserve">Emission Factor (Road Freight): 0.1 kgCO2e/tonne-km</w:t>
      </w:r>
    </w:p>
    <w:p>
      <w:pPr>
        <w:numPr>
          <w:ilvl w:val="1"/>
          <w:numId w:val="1010"/>
        </w:numPr>
        <w:pStyle w:val="Compact"/>
      </w:pPr>
      <w:r>
        <w:t xml:space="preserve">Emissions: (0.8 kg * 1500 km * 0.1 kgCO2e/tonne-km) / 1000 =</w:t>
      </w:r>
      <w:r>
        <w:t xml:space="preserve"> </w:t>
      </w:r>
      <w:r>
        <w:rPr>
          <w:bCs/>
          <w:b/>
        </w:rPr>
        <w:t xml:space="preserve">0.12 kg CO2e</w:t>
      </w:r>
      <w:r>
        <w:t xml:space="preserve"> </w:t>
      </w:r>
      <w:r>
        <w:t xml:space="preserve">(Scope 3, Category 4)</w:t>
      </w:r>
    </w:p>
    <w:p>
      <w:pPr>
        <w:numPr>
          <w:ilvl w:val="0"/>
          <w:numId w:val="1009"/>
        </w:numPr>
        <w:pStyle w:val="Compact"/>
      </w:pPr>
      <w:r>
        <w:rPr>
          <w:bCs/>
          <w:b/>
        </w:rPr>
        <w:t xml:space="preserve">Downstream Transport (Last-Mile Delivery):</w:t>
      </w:r>
    </w:p>
    <w:p>
      <w:pPr>
        <w:numPr>
          <w:ilvl w:val="1"/>
          <w:numId w:val="1011"/>
        </w:numPr>
        <w:pStyle w:val="Compact"/>
      </w:pPr>
      <w:r>
        <w:t xml:space="preserve">Delivery Type: Parcel Delivery Van</w:t>
      </w:r>
    </w:p>
    <w:p>
      <w:pPr>
        <w:numPr>
          <w:ilvl w:val="1"/>
          <w:numId w:val="1011"/>
        </w:numPr>
        <w:pStyle w:val="Compact"/>
      </w:pPr>
      <w:r>
        <w:t xml:space="preserve">Emission Factor (Parcel Delivery Van): 0.3 kgCO2e/delivery</w:t>
      </w:r>
    </w:p>
    <w:p>
      <w:pPr>
        <w:numPr>
          <w:ilvl w:val="1"/>
          <w:numId w:val="1011"/>
        </w:numPr>
        <w:pStyle w:val="Compact"/>
      </w:pPr>
      <w:r>
        <w:t xml:space="preserve">Emissions:</w:t>
      </w:r>
      <w:r>
        <w:t xml:space="preserve"> </w:t>
      </w:r>
      <w:r>
        <w:rPr>
          <w:bCs/>
          <w:b/>
        </w:rPr>
        <w:t xml:space="preserve">0.30 kg CO2e</w:t>
      </w:r>
      <w:r>
        <w:t xml:space="preserve"> </w:t>
      </w:r>
      <w:r>
        <w:t xml:space="preserve">(Scope 3, Category 9)</w:t>
      </w:r>
    </w:p>
    <w:p>
      <w:pPr>
        <w:numPr>
          <w:ilvl w:val="0"/>
          <w:numId w:val="1009"/>
        </w:numPr>
        <w:pStyle w:val="Compact"/>
      </w:pPr>
      <w:r>
        <w:t xml:space="preserve">Total Transport Emissions: 0.12 + 0.30 =</w:t>
      </w:r>
      <w:r>
        <w:t xml:space="preserve"> </w:t>
      </w:r>
      <w:r>
        <w:rPr>
          <w:bCs/>
          <w:b/>
        </w:rPr>
        <w:t xml:space="preserve">0.42 kg CO2e</w:t>
      </w:r>
    </w:p>
    <w:bookmarkEnd w:id="38"/>
    <w:bookmarkStart w:id="39" w:name="Xc8d47610e025d3b1fe367d676386ecee874efa3"/>
    <w:p>
      <w:pPr>
        <w:pStyle w:val="Heading4"/>
      </w:pPr>
      <w:r>
        <w:t xml:space="preserve">4.2.4 Use Phase (Scope 3, Category 11: Use of Sold Products)</w:t>
      </w:r>
    </w:p>
    <w:p>
      <w:pPr>
        <w:pStyle w:val="FirstParagraph"/>
      </w:pPr>
      <w:r>
        <w:t xml:space="preserve">Calculations for the energy consumption during the product\'s lifespan:</w:t>
      </w:r>
    </w:p>
    <w:p>
      <w:pPr>
        <w:numPr>
          <w:ilvl w:val="0"/>
          <w:numId w:val="1012"/>
        </w:numPr>
        <w:pStyle w:val="Compact"/>
      </w:pPr>
      <w:r>
        <w:t xml:space="preserve">Product Lifespan: 5 years</w:t>
      </w:r>
    </w:p>
    <w:p>
      <w:pPr>
        <w:numPr>
          <w:ilvl w:val="0"/>
          <w:numId w:val="1012"/>
        </w:numPr>
        <w:pStyle w:val="Compact"/>
      </w:pPr>
      <w:r>
        <w:t xml:space="preserve">Energy Consumption in Use: 5 kWh/year</w:t>
      </w:r>
    </w:p>
    <w:p>
      <w:pPr>
        <w:numPr>
          <w:ilvl w:val="0"/>
          <w:numId w:val="1012"/>
        </w:numPr>
        <w:pStyle w:val="Compact"/>
      </w:pPr>
      <w:r>
        <w:t xml:space="preserve">Total Energy in Use: 5 kWh/year * 5 years = 25 kWh</w:t>
      </w:r>
    </w:p>
    <w:p>
      <w:pPr>
        <w:numPr>
          <w:ilvl w:val="0"/>
          <w:numId w:val="1012"/>
        </w:numPr>
        <w:pStyle w:val="Compact"/>
      </w:pPr>
      <w:r>
        <w:t xml:space="preserve">Emission Factor (Europe Grid Mix): 0.25 kgCO2e/kWh</w:t>
      </w:r>
    </w:p>
    <w:p>
      <w:pPr>
        <w:numPr>
          <w:ilvl w:val="0"/>
          <w:numId w:val="1012"/>
        </w:numPr>
        <w:pStyle w:val="Compact"/>
      </w:pPr>
      <w:r>
        <w:t xml:space="preserve">Use Phase Emissions: 25 kWh * 0.25 kgCO2e/kWh =</w:t>
      </w:r>
      <w:r>
        <w:t xml:space="preserve"> </w:t>
      </w:r>
      <w:r>
        <w:rPr>
          <w:bCs/>
          <w:b/>
        </w:rPr>
        <w:t xml:space="preserve">6.25 kg CO2e</w:t>
      </w:r>
    </w:p>
    <w:bookmarkEnd w:id="39"/>
    <w:bookmarkStart w:id="40" w:name="X9982929b618de862c11111658ccce8db3e98553"/>
    <w:p>
      <w:pPr>
        <w:pStyle w:val="Heading4"/>
      </w:pPr>
      <w:r>
        <w:t xml:space="preserve">4.2.5 End-of-Life (EoL) (Scope 3, Category 12: End-of-Life Treatment of Sold Products)</w:t>
      </w:r>
    </w:p>
    <w:p>
      <w:pPr>
        <w:pStyle w:val="FirstParagraph"/>
      </w:pPr>
      <w:r>
        <w:t xml:space="preserve">Accounting for recyclability and circular programs:</w:t>
      </w:r>
    </w:p>
    <w:p>
      <w:pPr>
        <w:numPr>
          <w:ilvl w:val="0"/>
          <w:numId w:val="1013"/>
        </w:numPr>
        <w:pStyle w:val="Compact"/>
      </w:pPr>
      <w:r>
        <w:t xml:space="preserve">Product Weight (approx.): 0.8 kg</w:t>
      </w:r>
    </w:p>
    <w:p>
      <w:pPr>
        <w:numPr>
          <w:ilvl w:val="0"/>
          <w:numId w:val="1013"/>
        </w:numPr>
        <w:pStyle w:val="Compact"/>
      </w:pPr>
      <w:r>
        <w:t xml:space="preserve">Recyclability Percentage: 85%</w:t>
      </w:r>
    </w:p>
    <w:p>
      <w:pPr>
        <w:numPr>
          <w:ilvl w:val="0"/>
          <w:numId w:val="1013"/>
        </w:numPr>
        <w:pStyle w:val="Compact"/>
      </w:pPr>
      <w:r>
        <w:t xml:space="preserve">Recycled Portion: 0.8 kg * 0.85 = 0.68 kg</w:t>
      </w:r>
    </w:p>
    <w:p>
      <w:pPr>
        <w:numPr>
          <w:ilvl w:val="0"/>
          <w:numId w:val="1013"/>
        </w:numPr>
        <w:pStyle w:val="Compact"/>
      </w:pPr>
      <w:r>
        <w:t xml:space="preserve">Non-recycled Portion: 0.8 kg * (1 - 0.85) = 0.12 kg</w:t>
      </w:r>
    </w:p>
    <w:p>
      <w:pPr>
        <w:numPr>
          <w:ilvl w:val="0"/>
          <w:numId w:val="1013"/>
        </w:numPr>
        <w:pStyle w:val="Compact"/>
      </w:pPr>
      <w:r>
        <w:t xml:space="preserve">Recycling Credit: 0.68 kg * -1.0 kgCO2e/kg = -0.68 kgCO2e</w:t>
      </w:r>
    </w:p>
    <w:p>
      <w:pPr>
        <w:numPr>
          <w:ilvl w:val="0"/>
          <w:numId w:val="1013"/>
        </w:numPr>
        <w:pStyle w:val="Compact"/>
      </w:pPr>
      <w:r>
        <w:t xml:space="preserve">Disposal Emissions (landfill/incineration): 0.12 kg * 0.5 kgCO2e/kg = 0.06 kgCO2e</w:t>
      </w:r>
    </w:p>
    <w:p>
      <w:pPr>
        <w:numPr>
          <w:ilvl w:val="0"/>
          <w:numId w:val="1013"/>
        </w:numPr>
        <w:pStyle w:val="Compact"/>
      </w:pPr>
      <w:r>
        <w:t xml:space="preserve">Total End-of-Life Emissions: -0.68 + 0.06 =</w:t>
      </w:r>
      <w:r>
        <w:t xml:space="preserve"> </w:t>
      </w:r>
      <w:r>
        <w:rPr>
          <w:bCs/>
          <w:b/>
        </w:rPr>
        <w:t xml:space="preserve">-0.62 kg CO2e</w:t>
      </w:r>
    </w:p>
    <w:p>
      <w:pPr>
        <w:pStyle w:val="FirstParagraph"/>
      </w:pPr>
      <w:r>
        <w:t xml:space="preserve">The active take-back program and high recyclability lead to a net carbon saving in the end-of-life phase.</w:t>
      </w:r>
    </w:p>
    <w:bookmarkEnd w:id="40"/>
    <w:bookmarkEnd w:id="41"/>
    <w:bookmarkStart w:id="42" w:name="X0c1fe8d0ca3c4cb154270a2d6a3eeaf772f68ee"/>
    <w:p>
      <w:pPr>
        <w:pStyle w:val="Heading3"/>
      </w:pPr>
      <w:r>
        <w:t xml:space="preserve">4.3 Total Product Carbon Footprint (PCF)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 Acquisition &amp; Pre-processing</w:t>
            </w:r>
          </w:p>
        </w:tc>
        <w:tc>
          <w:tcPr/>
          <w:p>
            <w:pPr>
              <w:pStyle w:val="Compact"/>
              <w:jc w:val="left"/>
            </w:pPr>
            <w:r>
              <w:t xml:space="preserve">4.80</w:t>
            </w: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Production (Manufacturing)</w:t>
            </w:r>
          </w:p>
        </w:tc>
        <w:tc>
          <w:tcPr/>
          <w:p>
            <w:pPr>
              <w:pStyle w:val="Compact"/>
              <w:jc w:val="left"/>
            </w:pPr>
            <w:r>
              <w:t xml:space="preserve">0.25</w:t>
            </w:r>
          </w:p>
        </w:tc>
        <w:tc>
          <w:tcPr/>
          <w:p>
            <w:pPr>
              <w:pStyle w:val="Compact"/>
              <w:jc w:val="left"/>
            </w:pPr>
            <w:r>
              <w:t xml:space="preserve">Scope 2</w:t>
            </w:r>
          </w:p>
        </w:tc>
        <w:tc>
          <w:tcPr/>
          <w:p>
            <w:pPr>
              <w:pStyle w:val="Compact"/>
              <w:jc w:val="left"/>
            </w:pPr>
            <w:r>
              <w:t xml:space="preserve">N/A (Purchased Electricity)</w:t>
            </w:r>
          </w:p>
        </w:tc>
      </w:tr>
      <w:tr>
        <w:tc>
          <w:tcPr/>
          <w:p>
            <w:pPr>
              <w:pStyle w:val="Compact"/>
              <w:jc w:val="left"/>
            </w:pPr>
            <w:r>
              <w:t xml:space="preserve">Upstream Transport (materials to factory)</w:t>
            </w:r>
          </w:p>
        </w:tc>
        <w:tc>
          <w:tcPr/>
          <w:p>
            <w:pPr>
              <w:pStyle w:val="Compact"/>
              <w:jc w:val="left"/>
            </w:pPr>
            <w:r>
              <w:t xml:space="preserve">0.12</w:t>
            </w: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Downstream Transport (Last-Mile Delivery)</w:t>
            </w:r>
          </w:p>
        </w:tc>
        <w:tc>
          <w:tcPr/>
          <w:p>
            <w:pPr>
              <w:pStyle w:val="Compact"/>
              <w:jc w:val="left"/>
            </w:pPr>
            <w:r>
              <w:t xml:space="preserve">0.30</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jc w:val="left"/>
            </w:pPr>
            <w:r>
              <w:t xml:space="preserve">6.25</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-0.62</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t xml:space="preserve">TOTAL PRODUCT CARBON FOOTPRINT</w:t>
            </w:r>
          </w:p>
        </w:tc>
        <w:tc>
          <w:tcPr/>
          <w:p>
            <w:pPr>
              <w:pStyle w:val="Compact"/>
              <w:jc w:val="left"/>
            </w:pPr>
            <w:r>
              <w:t xml:space="preserve">11.10</w:t>
            </w:r>
          </w:p>
        </w:tc>
        <w:tc>
          <w:tcPr/>
          <w:p>
            <w:pPr>
              <w:pStyle w:val="Compact"/>
            </w:pPr>
          </w:p>
        </w:tc>
        <w:tc>
          <w:tcPr/>
          <w:p>
            <w:pPr>
              <w:pStyle w:val="Compact"/>
            </w:pPr>
          </w:p>
        </w:tc>
      </w:tr>
    </w:tbl>
    <w:bookmarkEnd w:id="42"/>
    <w:bookmarkStart w:id="43" w:name="X4ae9f198c2301bf74b8850f9fb5338dfbf1afcb"/>
    <w:p>
      <w:pPr>
        <w:pStyle w:val="Heading3"/>
      </w:pPr>
      <w:r>
        <w:t xml:space="preserve">4.4 Total Product Carbon Footprint (PCF)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0.25</w:t>
            </w:r>
          </w:p>
        </w:tc>
        <w:tc>
          <w:tcPr/>
          <w:p>
            <w:pPr>
              <w:pStyle w:val="Compact"/>
              <w:jc w:val="left"/>
            </w:pPr>
            <w:r>
              <w:t xml:space="preserve">2.3%</w:t>
            </w:r>
          </w:p>
        </w:tc>
      </w:tr>
      <w:tr>
        <w:tc>
          <w:tcPr/>
          <w:p>
            <w:pPr>
              <w:pStyle w:val="Compact"/>
              <w:jc w:val="left"/>
            </w:pPr>
            <w:r>
              <w:t xml:space="preserve">Scope 3 (Value Chain Emissions)</w:t>
            </w:r>
          </w:p>
        </w:tc>
        <w:tc>
          <w:tcPr/>
          <w:p>
            <w:pPr>
              <w:pStyle w:val="Compact"/>
              <w:jc w:val="left"/>
            </w:pPr>
            <w:r>
              <w:t xml:space="preserve">10.85</w:t>
            </w:r>
          </w:p>
        </w:tc>
        <w:tc>
          <w:tcPr/>
          <w:p>
            <w:pPr>
              <w:pStyle w:val="Compact"/>
              <w:jc w:val="left"/>
            </w:pPr>
            <w:r>
              <w:t xml:space="preserve">97.7%</w:t>
            </w:r>
          </w:p>
        </w:tc>
      </w:tr>
      <w:tr>
        <w:tc>
          <w:tcPr/>
          <w:p>
            <w:pPr>
              <w:pStyle w:val="Compact"/>
              <w:jc w:val="left"/>
            </w:pPr>
            <w:r>
              <w:t xml:space="preserve">TOTAL PRODUCT CARBON FOOTPRINT</w:t>
            </w:r>
          </w:p>
        </w:tc>
        <w:tc>
          <w:tcPr/>
          <w:p>
            <w:pPr>
              <w:pStyle w:val="Compact"/>
              <w:jc w:val="left"/>
            </w:pPr>
            <w:r>
              <w:t xml:space="preserve">11.10</w:t>
            </w:r>
          </w:p>
        </w:tc>
        <w:tc>
          <w:tcPr/>
          <w:p>
            <w:pPr>
              <w:pStyle w:val="Compact"/>
              <w:jc w:val="left"/>
            </w:pPr>
            <w:r>
              <w:t xml:space="preserve">100.0%</w:t>
            </w:r>
          </w:p>
        </w:tc>
      </w:tr>
    </w:tbl>
    <w:p>
      <w:pPr>
        <w:pStyle w:val="BodyText"/>
      </w:pPr>
      <w:r>
        <w:t xml:space="preserve">The Scope 3 coverage target of at least 95% has been achieved by detailing emissions across major upstream and downstream categories, including materials, transport, use phase, and end-of-life.</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s-identification"/>
    <w:p>
      <w:pPr>
        <w:pStyle w:val="Heading3"/>
      </w:pPr>
      <w:r>
        <w:t xml:space="preserve">5.1 Hotspots Identification</w:t>
      </w:r>
    </w:p>
    <w:p>
      <w:pPr>
        <w:pStyle w:val="FirstParagraph"/>
      </w:pPr>
      <w:r>
        <w:t xml:space="preserve">The PCF analysis identifies the following key emission hotspots for ihqfemngtd:</w:t>
      </w:r>
    </w:p>
    <w:p>
      <w:pPr>
        <w:numPr>
          <w:ilvl w:val="0"/>
          <w:numId w:val="1014"/>
        </w:numPr>
        <w:pStyle w:val="Compact"/>
      </w:pPr>
      <w:r>
        <w:rPr>
          <w:bCs/>
          <w:b/>
        </w:rPr>
        <w:t xml:space="preserve">Use Phase (56.3% of total PCF):</w:t>
      </w:r>
      <w:r>
        <w:t xml:space="preserve"> </w:t>
      </w:r>
      <w:r>
        <w:t xml:space="preserve">This is the dominant hotspot, primarily driven by the product\'s energy consumption over its 5-year lifespan. This highlights the critical importance of energy efficiency in product design and user behavior.</w:t>
      </w:r>
    </w:p>
    <w:p>
      <w:pPr>
        <w:numPr>
          <w:ilvl w:val="0"/>
          <w:numId w:val="1014"/>
        </w:numPr>
        <w:pStyle w:val="Compact"/>
      </w:pPr>
      <w:r>
        <w:rPr>
          <w:bCs/>
          <w:b/>
        </w:rPr>
        <w:t xml:space="preserve">Material Acquisition &amp; Pre-processing (43.2% of total PCF):</w:t>
      </w:r>
      <w:r>
        <w:t xml:space="preserve"> </w:t>
      </w:r>
      <w:r>
        <w:t xml:space="preserve">The raw materials, particularly plastics and electronics, contribute significantly to the upstream footprint. Optimizing material selection, reducing material intensity, and sourcing lower-impact alternatives are crucial.</w:t>
      </w:r>
    </w:p>
    <w:p>
      <w:pPr>
        <w:numPr>
          <w:ilvl w:val="0"/>
          <w:numId w:val="1014"/>
        </w:numPr>
        <w:pStyle w:val="Compact"/>
      </w:pPr>
      <w:r>
        <w:rPr>
          <w:bCs/>
          <w:b/>
        </w:rPr>
        <w:t xml:space="preserve">End-of-Life (-5.6% of total PCF):</w:t>
      </w:r>
      <w:r>
        <w:t xml:space="preserve"> </w:t>
      </w:r>
      <w:r>
        <w:t xml:space="preserve">The product\'s high recyclability and the company\'s active take-back program result in a net carbon saving at the end-of-life, demonstrating the positive impact of circular economy initiatives.</w:t>
      </w:r>
    </w:p>
    <w:bookmarkEnd w:id="45"/>
    <w:bookmarkStart w:id="46" w:name="recommendations-for-reduction"/>
    <w:p>
      <w:pPr>
        <w:pStyle w:val="Heading3"/>
      </w:pPr>
      <w:r>
        <w:t xml:space="preserve">5.2 Recommendations for Reduction</w:t>
      </w:r>
    </w:p>
    <w:p>
      <w:pPr>
        <w:numPr>
          <w:ilvl w:val="0"/>
          <w:numId w:val="1015"/>
        </w:numPr>
        <w:pStyle w:val="Compact"/>
      </w:pPr>
      <w:r>
        <w:rPr>
          <w:bCs/>
          <w:b/>
        </w:rPr>
        <w:t xml:space="preserve">Reduce Use Phase Emissions:</w:t>
      </w:r>
      <w:r>
        <w:t xml:space="preserve"> </w:t>
      </w:r>
      <w:r>
        <w:t xml:space="preserve">Focus on improving the energy efficiency of ihqfemngtd. This could involve using more energy-efficient components, optimizing power management, or exploring renewable energy options for product operation where feasible. Educating consumers on efficient usage can also contribute.</w:t>
      </w:r>
    </w:p>
    <w:p>
      <w:pPr>
        <w:numPr>
          <w:ilvl w:val="0"/>
          <w:numId w:val="1015"/>
        </w:numPr>
        <w:pStyle w:val="Compact"/>
      </w:pPr>
      <w:r>
        <w:rPr>
          <w:bCs/>
          <w:b/>
        </w:rPr>
        <w:t xml:space="preserve">Optimize Material Footprint:</w:t>
      </w:r>
      <w:r>
        <w:t xml:space="preserve"> </w:t>
      </w:r>
      <w:r>
        <w:t xml:space="preserve">Investigate opportunities to use recycled content, bio-based materials, or materials with lower embodied carbon for components like the main casing and battery pack. Engage with suppliers to explore lower-carbon production processes.</w:t>
      </w:r>
    </w:p>
    <w:p>
      <w:pPr>
        <w:numPr>
          <w:ilvl w:val="0"/>
          <w:numId w:val="1015"/>
        </w:numPr>
        <w:pStyle w:val="Compact"/>
      </w:pPr>
      <w:r>
        <w:rPr>
          <w:bCs/>
          <w:b/>
        </w:rPr>
        <w:t xml:space="preserve">Enhance Circularity:</w:t>
      </w:r>
      <w:r>
        <w:t xml:space="preserve"> </w:t>
      </w:r>
      <w:r>
        <w:t xml:space="preserve">Continue to strengthen the existing take-back and material recovery programs. Explore design for disassembly and repair to further extend product lifespan and facilitate high-quality recycling.</w:t>
      </w:r>
    </w:p>
    <w:p>
      <w:pPr>
        <w:numPr>
          <w:ilvl w:val="0"/>
          <w:numId w:val="1015"/>
        </w:numPr>
        <w:pStyle w:val="Compact"/>
      </w:pPr>
      <w:r>
        <w:rPr>
          <w:bCs/>
          <w:b/>
        </w:rPr>
        <w:t xml:space="preserve">Supplier Engagement:</w:t>
      </w:r>
      <w:r>
        <w:t xml:space="preserve"> </w:t>
      </w:r>
      <w:r>
        <w:t xml:space="preserve">Collaborate with upstream suppliers (especially for materials and components) to encourage their transition to renewable energy sources and more efficient manufacturing processes.</w:t>
      </w:r>
    </w:p>
    <w:bookmarkEnd w:id="46"/>
    <w:bookmarkStart w:id="47" w:name="reliability-statement"/>
    <w:p>
      <w:pPr>
        <w:pStyle w:val="Heading3"/>
      </w:pPr>
      <w:r>
        <w:t xml:space="preserve">5.3 Reliability Statement</w:t>
      </w:r>
    </w:p>
    <w:p>
      <w:pPr>
        <w:pStyle w:val="FirstParagraph"/>
      </w:pPr>
      <w:r>
        <w:t xml:space="preserve">This PCF report is based on the provided company-specific data (BOM, energy usage, logistics, etc.) and publicly available, industry-average emission factors (e.g., Ecoinvent, DEFRA) and assumptions for general parameters where specific data was not provided. While efforts have been made to ensure accuracy and adherence to the GHG Protocol, the precision of the results is contingent upon the accuracy and representativeness of the input data. Continuous improvement of primary data collection will enhance the reliability of future assessments.</w:t>
      </w:r>
    </w:p>
    <w:p>
      <w:pPr>
        <w:pStyle w:val="BodyText"/>
      </w:pPr>
      <w:r>
        <w:t xml:space="preserve">Application of the 2026 Land Sector and Removals (LSR) Standard was integrated by considering potential biogenic carbon flows and removals where relevant, particularly in the context of material sourcing and end-of-life scenarios, although no explicit land use change emissions were calculated for this specific product based on available data.</w:t>
      </w:r>
    </w:p>
    <w:p>
      <w:r>
        <w:pict>
          <v:rect style="width:0;height:1.5pt" o:hralign="center" o:hrstd="t" o:hr="t"/>
        </w:pict>
      </w:r>
    </w:p>
    <w:p>
      <w:pPr>
        <w:pStyle w:val="FirstParagraph"/>
      </w:pPr>
      <w:r>
        <w:t xml:space="preserve">Confidential - Internal Use Only | Page 1 of X</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ihqfemngtd</dc:title>
  <dc:creator/>
  <dc:description>Detailed Product Carbon Footprint (PCF) analysis report for ihqfemngtd, prepared by Senior Sustainability Consultant xxmydedihx for iovvsufqdt, adhering to GHG Protocol standards and 2026 LSR updates.</dc:description>
  <dc:language>en</dc:language>
  <cp:keywords/>
  <dcterms:created xsi:type="dcterms:W3CDTF">2026-07-15T15:41:34Z</dcterms:created>
  <dcterms:modified xsi:type="dcterms:W3CDTF">2026-07-15T15:41:34Z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