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ihdwxxfulu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ihdwxxfulu</w:t>
      </w:r>
    </w:p>
    <w:p>
      <w:pPr>
        <w:pStyle w:val="BodyText"/>
      </w:pPr>
      <w:r>
        <w:t xml:space="preserve">Company: kxhnsehyvg</w:t>
      </w:r>
    </w:p>
    <w:p>
      <w:pPr>
        <w:pStyle w:val="BodyText"/>
      </w:pPr>
      <w:r>
        <w:t xml:space="preserve">Protocol Data (Accounting Standard): GHG Protocol</w:t>
      </w:r>
    </w:p>
    <w:p>
      <w:pPr>
        <w:pStyle w:val="BodyText"/>
      </w:pPr>
      <w:r>
        <w:t xml:space="preserve">Senior Sustainability Consultant: lrmfondxxi</w:t>
      </w:r>
    </w:p>
    <w:p>
      <w:pPr>
        <w:pStyle w:val="BodyText"/>
      </w:pPr>
      <w:r>
        <w:t xml:space="preserve">Disclaimer: This report is generated based on available data and industry standards. While every effort has been made to ensure accuracy and adherence to the specified parameters, specific real-world conditions and evolving methodologies may introduce variations. This analysis provides an estimate for guiding sustainability efforts.</w:t>
      </w:r>
    </w:p>
    <w:bookmarkEnd w:id="20"/>
    <w:bookmarkStart w:id="5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Monday, 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ihdwxxfulu</w:t>
      </w:r>
      <w:r>
        <w:t xml:space="preserve"> </w:t>
      </w:r>
      <w:r>
        <w:t xml:space="preserve">manufactured by</w:t>
      </w:r>
      <w:r>
        <w:t xml:space="preserve"> </w:t>
      </w:r>
      <w:r>
        <w:rPr>
          <w:bCs/>
          <w:b/>
        </w:rPr>
        <w:t xml:space="preserve">kxhnsehyvg</w:t>
      </w:r>
      <w:r>
        <w:t xml:space="preserve">, performed by</w:t>
      </w:r>
      <w:r>
        <w:t xml:space="preserve"> </w:t>
      </w:r>
      <w:r>
        <w:rPr>
          <w:bCs/>
          <w:b/>
        </w:rPr>
        <w:t xml:space="preserve">lrmfondxxi</w:t>
      </w:r>
      <w:r>
        <w:t xml:space="preserve">, a Senior Sustainability Consultant specializing in the GHG Protocol. The analysis adheres to the GHG Protocol\'s methodologies, including categorization into Scope 1, 2, and 3 emissions, and acknowledges the 2026 updates for the Land Sector and Removals (LSR) Standard and Scope 3 compliance requirements. The study employs a cradle-to-grave approach to provide a comprehensive view of the product\'s environmental impact, while explicitly noting the primary system boundary as factory-gate for core production emissions.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ihdwxxfulu</w:t>
      </w:r>
      <w:r>
        <w:t xml:space="preserve">.</w:t>
      </w:r>
    </w:p>
    <w:bookmarkEnd w:id="22"/>
    <w:bookmarkStart w:id="23" w:name="system-boundary"/>
    <w:p>
      <w:pPr>
        <w:pStyle w:val="Heading3"/>
      </w:pPr>
      <w:r>
        <w:t xml:space="preserve">1.2 System Boundary</w:t>
      </w:r>
    </w:p>
    <w:p>
      <w:pPr>
        <w:pStyle w:val="FirstParagraph"/>
      </w:pPr>
      <w:r>
        <w:t xml:space="preserve">The primary system boundary for the core PCF calculation is</w:t>
      </w:r>
      <w:r>
        <w:t xml:space="preserve"> </w:t>
      </w:r>
      <w:r>
        <w:rPr>
          <w:bCs/>
          <w:b/>
        </w:rPr>
        <w:t xml:space="preserve">factory_gate</w:t>
      </w:r>
      <w:r>
        <w:t xml:space="preserve">. This includes all processes from raw material acquisition (cradle) up to the point the finished product leaves the factory premises (gate), encompassing material production and manufacturing processes. To meet the high-detail requirements and incorporate all provided parameters, the analysis also extends to cover downstream transport, product use, and end-of-life stages. These additional stages are clearly categorized as downstream Scope 3 emissions, providing a holistic cradle-to-grave perspective for comprehensive impact assessment.</w:t>
      </w:r>
    </w:p>
    <w:bookmarkEnd w:id="23"/>
    <w:bookmarkStart w:id="24" w:name="geographic-scope"/>
    <w:p>
      <w:pPr>
        <w:pStyle w:val="Heading3"/>
      </w:pPr>
      <w:r>
        <w:t xml:space="preserve">1.3 Geographic Scope</w:t>
      </w:r>
    </w:p>
    <w:p>
      <w:pPr>
        <w:pStyle w:val="FirstParagraph"/>
      </w:pPr>
      <w:r>
        <w:t xml:space="preserve">The final production country for</w:t>
      </w:r>
      <w:r>
        <w:t xml:space="preserve"> </w:t>
      </w:r>
      <w:r>
        <w:rPr>
          <w:bCs/>
          <w:b/>
        </w:rPr>
        <w:t xml:space="preserve">ihdwxxfulu</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indicating that upstream material sourcing and downstream distribution are analyzed with a significant emphasis on European logistics and markets.</w:t>
      </w:r>
    </w:p>
    <w:bookmarkEnd w:id="24"/>
    <w:bookmarkStart w:id="25"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w:t>
      </w:r>
      <w:r>
        <w:t xml:space="preserve">standards for corporate and product accounting and reporting. Emissions are categorized into Scope 1 (direct emissions), Scope 2 (indirect emissions from purchased energy), and Scope 3 (all other indirect emissions across the value chain). The report also considers the forthcoming</w:t>
      </w:r>
      <w:r>
        <w:t xml:space="preserve"> </w:t>
      </w:r>
      <w:r>
        <w:rPr>
          <w:bCs/>
          <w:b/>
        </w:rPr>
        <w:t xml:space="preserve">2026 LSR Update</w:t>
      </w:r>
      <w:r>
        <w:t xml:space="preserve"> </w:t>
      </w:r>
      <w:r>
        <w:t xml:space="preserve">for land use and carbon removals, acknowledging its release on January 30, 2026, and its effective date of January 1, 2027. Furthermore, it ensures compliance with the proposed</w:t>
      </w:r>
      <w:r>
        <w:t xml:space="preserve"> </w:t>
      </w:r>
      <w:r>
        <w:rPr>
          <w:bCs/>
          <w:b/>
        </w:rPr>
        <w:t xml:space="preserve">2026 Scope 3 compliance</w:t>
      </w:r>
      <w:r>
        <w:t xml:space="preserve"> </w:t>
      </w:r>
      <w:r>
        <w:t xml:space="preserve">requirement for at least 95% coverage of relevant Scope 3 emissions, aiming for completeness and transparency.</w:t>
      </w:r>
    </w:p>
    <w:bookmarkEnd w:id="25"/>
    <w:bookmarkStart w:id="26" w:name="allocation"/>
    <w:p>
      <w:pPr>
        <w:pStyle w:val="Heading3"/>
      </w:pPr>
      <w:r>
        <w:t xml:space="preserve">1.5 Allocation</w:t>
      </w:r>
    </w:p>
    <w:p>
      <w:pPr>
        <w:pStyle w:val="FirstParagraph"/>
      </w:pPr>
      <w:r>
        <w:t xml:space="preserve">Emissions are allocated directly to the functional unit (1.0 unit of ihdwxxfulu). For multi-output processes, if applicable, mass-based allocation is assumed where specific data for economic or other allocation methods are not provided. Given the product-centric nature of this PCF, direct attribution to the unit is the primary method.</w:t>
      </w:r>
    </w:p>
    <w:p>
      <w:r>
        <w:pict>
          <v:rect style="width:0;height:1.5pt" o:hralign="center" o:hrstd="t" o:hr="t"/>
        </w:pict>
      </w:r>
    </w:p>
    <w:bookmarkEnd w:id="26"/>
    <w:bookmarkEnd w:id="27"/>
    <w:bookmarkStart w:id="34" w:name="map-lifecycle-3.-collect-data"/>
    <w:p>
      <w:pPr>
        <w:pStyle w:val="Heading2"/>
      </w:pPr>
      <w:r>
        <w:t xml:space="preserve">2. Map Lifecycle &amp; 3. Collect Data</w:t>
      </w:r>
    </w:p>
    <w:p>
      <w:pPr>
        <w:pStyle w:val="FirstParagraph"/>
      </w:pPr>
      <w:r>
        <w:t xml:space="preserve">The lifecycle mapping for</w:t>
      </w:r>
      <w:r>
        <w:t xml:space="preserve"> </w:t>
      </w:r>
      <w:r>
        <w:rPr>
          <w:bCs/>
          <w:b/>
        </w:rPr>
        <w:t xml:space="preserve">ihdwxxfulu</w:t>
      </w:r>
      <w:r>
        <w:t xml:space="preserve"> </w:t>
      </w:r>
      <w:r>
        <w:t xml:space="preserve">follows a comprehensive cradle-to-grave approach, encompassing raw material acquisition, manufacturing, transport, use, and end-of-life. Data collection integrates both primary data (as provided in the parameters) and secondary, industry-standard emission factors (e.g., from Ecoinvent/DEFRA equivalents).</w:t>
      </w:r>
    </w:p>
    <w:bookmarkStart w:id="29" w:name="X1c858762ee98f0d0bf8c978d12e31ca52fad004"/>
    <w:p>
      <w:pPr>
        <w:pStyle w:val="Heading3"/>
      </w:pPr>
      <w:r>
        <w:t xml:space="preserve">2.1 Material Acquisition &amp; Processing (Upstream - Scope 3)</w:t>
      </w:r>
    </w:p>
    <w:p>
      <w:pPr>
        <w:pStyle w:val="FirstParagraph"/>
      </w:pPr>
      <w:r>
        <w:t xml:space="preserve">The Detailed Bill of Materials (BOM) for</w:t>
      </w:r>
      <w:r>
        <w:t xml:space="preserve"> </w:t>
      </w:r>
      <w:r>
        <w:rPr>
          <w:bCs/>
          <w:b/>
        </w:rPr>
        <w:t xml:space="preserve">ihdwxxfulu</w:t>
      </w:r>
      <w:r>
        <w:t xml:space="preserve">, provided as</w:t>
      </w:r>
      <w:r>
        <w:t xml:space="preserve"> </w:t>
      </w:r>
      <w:r>
        <w:rPr>
          <w:bCs/>
          <w:b/>
        </w:rPr>
        <w:t xml:space="preserve">ysigdpwt</w:t>
      </w:r>
      <w:r>
        <w:t xml:space="preserve">, is used to calculate the material impact. The BOM data follows the format: ID, Description, Category, Process, Qty, Unit, Emission Factor (kgCO2e/unit or kg), Total Carbon (kgCO2e). The \'Total Carbon\' values from the BOM are directly utilized for high-accuracy material impact calculation.</w:t>
      </w:r>
    </w:p>
    <w:bookmarkStart w:id="28" w:name="Xc55018f07a5858e8040bde7e117838fa3e7e34e"/>
    <w:p>
      <w:pPr>
        <w:pStyle w:val="Heading4"/>
      </w:pPr>
      <w:r>
        <w:t xml:space="preserve">Detailed Bill of Materials (BOM) for ihdwxxfulu</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left"/>
            </w:pPr>
            <w:r>
              <w:t xml:space="preserve">Total Material Carbon Footprint</w:t>
            </w:r>
          </w:p>
        </w:tc>
        <w:tc>
          <w:tcPr/>
          <w:p>
            <w:pPr>
              <w:pStyle w:val="Compact"/>
              <w:jc w:val="left"/>
            </w:pPr>
            <w:r>
              <w:t xml:space="preserve">5.05</w:t>
            </w:r>
          </w:p>
        </w:tc>
      </w:tr>
    </w:tbl>
    <w:bookmarkEnd w:id="28"/>
    <w:bookmarkEnd w:id="29"/>
    <w:bookmarkStart w:id="30" w:name="production-phase-core---scope-1-2"/>
    <w:p>
      <w:pPr>
        <w:pStyle w:val="Heading3"/>
      </w:pPr>
      <w:r>
        <w:t xml:space="preserve">2.2 Production Phase (Core - Scope 1 &amp; 2)</w:t>
      </w:r>
    </w:p>
    <w:p>
      <w:pPr>
        <w:pStyle w:val="FirstParagraph"/>
      </w:pPr>
      <w:r>
        <w:t xml:space="preserve">The production phase for</w:t>
      </w:r>
      <w:r>
        <w:t xml:space="preserve"> </w:t>
      </w:r>
      <w:r>
        <w:rPr>
          <w:bCs/>
          <w:b/>
        </w:rPr>
        <w:t xml:space="preserve">ihdwxxfulu</w:t>
      </w:r>
      <w:r>
        <w:t xml:space="preserve"> </w:t>
      </w:r>
      <w:r>
        <w:t xml:space="preserve">occurs in China. Energy consumption and renewable energy usage are critical data points.</w:t>
      </w:r>
    </w:p>
    <w:p>
      <w:pPr>
        <w:numPr>
          <w:ilvl w:val="0"/>
          <w:numId w:val="1001"/>
        </w:numPr>
        <w:pStyle w:val="Compact"/>
      </w:pPr>
      <w:r>
        <w:rPr>
          <w:bCs/>
          <w:b/>
        </w:rPr>
        <w:t xml:space="preserve">Renewable Energy Usage (edvyqvkqwg):</w:t>
      </w:r>
      <w:r>
        <w:t xml:space="preserve"> </w:t>
      </w:r>
      <w:r>
        <w:t xml:space="preserve">30%</w:t>
      </w:r>
    </w:p>
    <w:p>
      <w:pPr>
        <w:numPr>
          <w:ilvl w:val="0"/>
          <w:numId w:val="1001"/>
        </w:numPr>
        <w:pStyle w:val="Compact"/>
      </w:pPr>
      <w:r>
        <w:rPr>
          <w:bCs/>
          <w:b/>
        </w:rPr>
        <w:t xml:space="preserve">Energy Intensity (kWh/unit) (dezwrdfdlo):</w:t>
      </w:r>
      <w:r>
        <w:t xml:space="preserve"> </w:t>
      </w:r>
      <w:r>
        <w:t xml:space="preserve">1.5 kWh/unit</w:t>
      </w:r>
    </w:p>
    <w:p>
      <w:pPr>
        <w:pStyle w:val="FirstParagraph"/>
      </w:pPr>
      <w:r>
        <w:rPr>
          <w:bCs/>
          <w:b/>
        </w:rPr>
        <w:t xml:space="preserve">Energy Inputs:</w:t>
      </w:r>
      <w:r>
        <w:t xml:space="preserve"> </w:t>
      </w:r>
      <w:r>
        <w:t xml:space="preserve">The total electricity consumed per unit of product is 1.5 kWh. With 30% renewable energy usage, the non-renewable electricity consumption is 1.5 kWh * (1 - 0.30) = 1.05 kWh. The grid electricity emission factor for China is estimated at 0.6 kgCO2e/kWh (representing a general average, noting provincial variations).</w:t>
      </w:r>
    </w:p>
    <w:p>
      <w:pPr>
        <w:pStyle w:val="BodyText"/>
      </w:pPr>
      <w:r>
        <w:rPr>
          <w:bCs/>
          <w:b/>
        </w:rPr>
        <w:t xml:space="preserve">Direct Emissions (Scope 1):</w:t>
      </w:r>
      <w:r>
        <w:t xml:space="preserve"> </w:t>
      </w:r>
      <w:r>
        <w:t xml:space="preserve">Assuming no direct fuel combustion in the manufacturing process for this specific product, Scope 1 emissions are considered negligible or zero in this analysis based on the provided parameters focusing on energy intensity (kWh/unit).</w:t>
      </w:r>
    </w:p>
    <w:bookmarkEnd w:id="30"/>
    <w:bookmarkStart w:id="31" w:name="transport-upstream-downstream---scope-3"/>
    <w:p>
      <w:pPr>
        <w:pStyle w:val="Heading3"/>
      </w:pPr>
      <w:r>
        <w:t xml:space="preserve">2.3 Transport (Upstream &amp; Downstream - Scope 3)</w:t>
      </w:r>
    </w:p>
    <w:p>
      <w:pPr>
        <w:pStyle w:val="FirstParagraph"/>
      </w:pPr>
      <w:r>
        <w:t xml:space="preserve">Logistics data is incorporated for both upstream material transport and downstream product distribution.</w:t>
      </w:r>
    </w:p>
    <w:p>
      <w:pPr>
        <w:numPr>
          <w:ilvl w:val="0"/>
          <w:numId w:val="1002"/>
        </w:numPr>
        <w:pStyle w:val="Compact"/>
      </w:pPr>
      <w:r>
        <w:rPr>
          <w:bCs/>
          <w:b/>
        </w:rPr>
        <w:t xml:space="preserve">Transport Mode (Select Mode):</w:t>
      </w:r>
      <w:r>
        <w:t xml:space="preserve"> </w:t>
      </w:r>
      <w:r>
        <w:t xml:space="preserve">Road Freight (HGV &gt;20t)</w:t>
      </w:r>
    </w:p>
    <w:p>
      <w:pPr>
        <w:numPr>
          <w:ilvl w:val="0"/>
          <w:numId w:val="1002"/>
        </w:numPr>
        <w:pStyle w:val="Compact"/>
      </w:pPr>
      <w:r>
        <w:rPr>
          <w:bCs/>
          <w:b/>
        </w:rPr>
        <w:t xml:space="preserve">Transport Distance (oeztsjpyyv):</w:t>
      </w:r>
      <w:r>
        <w:t xml:space="preserve"> </w:t>
      </w:r>
      <w:r>
        <w:t xml:space="preserve">2000 km (Upstream, Europe to China); 500 km (Downstream, China to Europe distribution)</w:t>
      </w:r>
    </w:p>
    <w:p>
      <w:pPr>
        <w:numPr>
          <w:ilvl w:val="0"/>
          <w:numId w:val="1002"/>
        </w:numPr>
        <w:pStyle w:val="Compact"/>
      </w:pPr>
      <w:r>
        <w:rPr>
          <w:bCs/>
          <w:b/>
        </w:rPr>
        <w:t xml:space="preserve">Last-Mile Delivery Channel (Delivery Type):</w:t>
      </w:r>
      <w:r>
        <w:t xml:space="preserve"> </w:t>
      </w:r>
      <w:r>
        <w:t xml:space="preserve">Parcel Service (Van)</w:t>
      </w:r>
    </w:p>
    <w:p>
      <w:pPr>
        <w:pStyle w:val="FirstParagraph"/>
      </w:pPr>
      <w:r>
        <w:rPr>
          <w:bCs/>
          <w:b/>
        </w:rPr>
        <w:t xml:space="preserve">Upstream Transport:</w:t>
      </w:r>
      <w:r>
        <w:t xml:space="preserve"> </w:t>
      </w:r>
      <w:r>
        <w:t xml:space="preserve">Materials are assumed to be transported by Road Freight (HGV &gt;20t) from Europe to China over 2000 km. The total mass of materials per functional unit is 1.8 kg (sum of BOM quantities). An emission factor of 0.09 kgCO2e/tonne-km is applied for road freight in Europe.</w:t>
      </w:r>
    </w:p>
    <w:p>
      <w:pPr>
        <w:pStyle w:val="BodyText"/>
      </w:pPr>
      <w:r>
        <w:rPr>
          <w:bCs/>
          <w:b/>
        </w:rPr>
        <w:t xml:space="preserve">Downstream Transport to Distribution:</w:t>
      </w:r>
      <w:r>
        <w:t xml:space="preserve"> </w:t>
      </w:r>
      <w:r>
        <w:t xml:space="preserve">The finished product is transported from China to a European distribution center over 500 km, also assumed by Road Freight (HGV &gt;20t).</w:t>
      </w:r>
    </w:p>
    <w:p>
      <w:pPr>
        <w:pStyle w:val="BodyText"/>
      </w:pPr>
      <w:r>
        <w:rPr>
          <w:bCs/>
          <w:b/>
        </w:rPr>
        <w:t xml:space="preserve">Last-Mile Delivery:</w:t>
      </w:r>
      <w:r>
        <w:t xml:space="preserve"> </w:t>
      </w:r>
      <w:r>
        <w:t xml:space="preserve">Last-mile delivery is performed via Parcel Service (Van). An emission factor of 0.25 kgCO2e/km is used for van delivery. Assuming a average last-mile distance for one unit is 50 km.</w:t>
      </w:r>
    </w:p>
    <w:bookmarkEnd w:id="31"/>
    <w:bookmarkStart w:id="32" w:name="use-phase-downstream---scope-3"/>
    <w:p>
      <w:pPr>
        <w:pStyle w:val="Heading3"/>
      </w:pPr>
      <w:r>
        <w:t xml:space="preserve">2.4 Use Phase (Downstream - Scope 3)</w:t>
      </w:r>
    </w:p>
    <w:p>
      <w:pPr>
        <w:pStyle w:val="FirstParagraph"/>
      </w:pPr>
      <w:r>
        <w:t xml:space="preserve">The use phase calculation integrates specific durability and consumption data.</w:t>
      </w:r>
    </w:p>
    <w:p>
      <w:pPr>
        <w:numPr>
          <w:ilvl w:val="0"/>
          <w:numId w:val="1003"/>
        </w:numPr>
        <w:pStyle w:val="Compact"/>
      </w:pPr>
      <w:r>
        <w:rPr>
          <w:bCs/>
          <w:b/>
        </w:rPr>
        <w:t xml:space="preserve">Product Lifespan (hhjgutsgup):</w:t>
      </w:r>
      <w:r>
        <w:t xml:space="preserve"> </w:t>
      </w:r>
      <w:r>
        <w:t xml:space="preserve">5 years</w:t>
      </w:r>
    </w:p>
    <w:p>
      <w:pPr>
        <w:numPr>
          <w:ilvl w:val="0"/>
          <w:numId w:val="1003"/>
        </w:numPr>
        <w:pStyle w:val="Compact"/>
      </w:pPr>
      <w:r>
        <w:rPr>
          <w:bCs/>
          <w:b/>
        </w:rPr>
        <w:t xml:space="preserve">Energy Consumption in Use (qzdewkourx):</w:t>
      </w:r>
      <w:r>
        <w:t xml:space="preserve"> </w:t>
      </w:r>
      <w:r>
        <w:t xml:space="preserve">10 kWh/year</w:t>
      </w:r>
    </w:p>
    <w:p>
      <w:pPr>
        <w:pStyle w:val="FirstParagraph"/>
      </w:pPr>
      <w:r>
        <w:rPr>
          <w:bCs/>
          <w:b/>
        </w:rPr>
        <w:t xml:space="preserve">Energy Consumption:</w:t>
      </w:r>
      <w:r>
        <w:t xml:space="preserve"> </w:t>
      </w:r>
      <w:r>
        <w:t xml:space="preserve">The product consumes 10 kWh/year over its 5-year lifespan, totaling 50 kWh. An illustrative emission factor for electricity consumed during the use phase (e.g., a mix of grid averages) is assumed to be 0.3 kgCO2e/kWh.</w:t>
      </w:r>
    </w:p>
    <w:bookmarkEnd w:id="32"/>
    <w:bookmarkStart w:id="33" w:name="end-of-life-eol-downstream---scope-3"/>
    <w:p>
      <w:pPr>
        <w:pStyle w:val="Heading3"/>
      </w:pPr>
      <w:r>
        <w:t xml:space="preserve">2.5 End-of-Life (EoL) (Downstream - Scope 3)</w:t>
      </w:r>
    </w:p>
    <w:p>
      <w:pPr>
        <w:pStyle w:val="FirstParagraph"/>
      </w:pPr>
      <w:r>
        <w:t xml:space="preserve">End-of-Life (EoL) scenarios reflect circular economy impacts based on recyclability and take-back programs.</w:t>
      </w:r>
    </w:p>
    <w:p>
      <w:pPr>
        <w:numPr>
          <w:ilvl w:val="0"/>
          <w:numId w:val="1004"/>
        </w:numPr>
        <w:pStyle w:val="Compact"/>
      </w:pPr>
      <w:r>
        <w:rPr>
          <w:bCs/>
          <w:b/>
        </w:rPr>
        <w:t xml:space="preserve">Recyclability Percentage (widyzlhdgf):</w:t>
      </w:r>
      <w:r>
        <w:t xml:space="preserve"> </w:t>
      </w:r>
      <w:r>
        <w:t xml:space="preserve">70%</w:t>
      </w:r>
    </w:p>
    <w:p>
      <w:pPr>
        <w:numPr>
          <w:ilvl w:val="0"/>
          <w:numId w:val="1004"/>
        </w:numPr>
        <w:pStyle w:val="Compact"/>
      </w:pPr>
      <w:r>
        <w:rPr>
          <w:bCs/>
          <w:b/>
        </w:rPr>
        <w:t xml:space="preserve">Circular/Take-back Programs (ejsxeumygp):</w:t>
      </w:r>
      <w:r>
        <w:t xml:space="preserve"> </w:t>
      </w:r>
      <w:r>
        <w:t xml:space="preserve">Yes, Partnered Collection</w:t>
      </w:r>
    </w:p>
    <w:p>
      <w:pPr>
        <w:pStyle w:val="FirstParagraph"/>
      </w:pPr>
      <w:r>
        <w:rPr>
          <w:bCs/>
          <w:b/>
        </w:rPr>
        <w:t xml:space="preserve">EoL Scenario:</w:t>
      </w:r>
      <w:r>
        <w:t xml:space="preserve"> </w:t>
      </w:r>
      <w:r>
        <w:t xml:space="preserve">For a total product mass of 1.8 kg, 70% (1.26 kg) is assumed to be recycled, and 30% (0.54 kg) is assumed to go to landfill. Recycling processes typically incur some emissions but also offer credits for displacing virgin material. Landfilling generates emissions from decomposition.</w:t>
      </w:r>
    </w:p>
    <w:p>
      <w:r>
        <w:pict>
          <v:rect style="width:0;height:1.5pt" o:hralign="center" o:hrstd="t" o:hr="t"/>
        </w:pict>
      </w:r>
    </w:p>
    <w:bookmarkEnd w:id="33"/>
    <w:bookmarkEnd w:id="34"/>
    <w:bookmarkStart w:id="43" w:name="calculate-emissions"/>
    <w:p>
      <w:pPr>
        <w:pStyle w:val="Heading2"/>
      </w:pPr>
      <w:r>
        <w:t xml:space="preserve">4. Calculate Emissions</w:t>
      </w:r>
    </w:p>
    <w:p>
      <w:pPr>
        <w:pStyle w:val="FirstParagraph"/>
      </w:pPr>
      <w:r>
        <w:t xml:space="preserve">This section details the calculation of emissions for each lifecycle stage, categorized by GHG Protocol scopes. Industry-standard emission factors are used as noted in Section 2 &amp; 3.</w:t>
      </w:r>
    </w:p>
    <w:bookmarkStart w:id="40" w:name="Xdb0e5553c6fd6ab8f79555d506c5328f5f6dd87"/>
    <w:p>
      <w:pPr>
        <w:pStyle w:val="Heading3"/>
      </w:pPr>
      <w:r>
        <w:t xml:space="preserve">4.1 Emissions by Lifecycle Stage and GHG Scope</w:t>
      </w:r>
    </w:p>
    <w:bookmarkStart w:id="35" w:name="material-acquisition-processing-upstream"/>
    <w:p>
      <w:pPr>
        <w:pStyle w:val="Heading4"/>
      </w:pPr>
      <w:r>
        <w:t xml:space="preserve">Material Acquisition &amp; Processing (Upstream)</w:t>
      </w:r>
    </w:p>
    <w:p>
      <w:pPr>
        <w:numPr>
          <w:ilvl w:val="0"/>
          <w:numId w:val="1005"/>
        </w:numPr>
        <w:pStyle w:val="Compact"/>
      </w:pPr>
      <w:r>
        <w:rPr>
          <w:bCs/>
          <w:b/>
        </w:rPr>
        <w:t xml:space="preserve">Total Material Carbon Footprint:</w:t>
      </w:r>
      <w:r>
        <w:t xml:space="preserve"> </w:t>
      </w:r>
      <w:r>
        <w:t xml:space="preserve">5.05 kgCO2e (from BOM, Scope 3, Category 1)</w:t>
      </w:r>
    </w:p>
    <w:bookmarkEnd w:id="35"/>
    <w:bookmarkStart w:id="36" w:name="production-phase-factory-gate"/>
    <w:p>
      <w:pPr>
        <w:pStyle w:val="Heading4"/>
      </w:pPr>
      <w:r>
        <w:t xml:space="preserve">Production Phase (Factory-Gate)</w:t>
      </w:r>
    </w:p>
    <w:p>
      <w:pPr>
        <w:numPr>
          <w:ilvl w:val="0"/>
          <w:numId w:val="1006"/>
        </w:numPr>
        <w:pStyle w:val="Compact"/>
      </w:pPr>
      <w:r>
        <w:rPr>
          <w:bCs/>
          <w:b/>
        </w:rPr>
        <w:t xml:space="preserve">Purchased Electricity (Scope 2):</w:t>
      </w:r>
    </w:p>
    <w:p>
      <w:pPr>
        <w:numPr>
          <w:ilvl w:val="1"/>
          <w:numId w:val="1007"/>
        </w:numPr>
        <w:pStyle w:val="Compact"/>
      </w:pPr>
      <w:r>
        <w:t xml:space="preserve">Non-renewable electricity: 1.05 kWh/unit</w:t>
      </w:r>
    </w:p>
    <w:p>
      <w:pPr>
        <w:numPr>
          <w:ilvl w:val="1"/>
          <w:numId w:val="1007"/>
        </w:numPr>
        <w:pStyle w:val="Compact"/>
      </w:pPr>
      <w:r>
        <w:t xml:space="preserve">Emission Factor (China grid): 0.6 kgCO2e/kWh</w:t>
      </w:r>
    </w:p>
    <w:p>
      <w:pPr>
        <w:numPr>
          <w:ilvl w:val="1"/>
          <w:numId w:val="1007"/>
        </w:numPr>
        <w:pStyle w:val="Compact"/>
      </w:pPr>
      <w:r>
        <w:t xml:space="preserve">Emissions: 1.05 kWh/unit * 0.6 kgCO2e/kWh = 0.63 kgCO2e</w:t>
      </w:r>
    </w:p>
    <w:p>
      <w:pPr>
        <w:numPr>
          <w:ilvl w:val="0"/>
          <w:numId w:val="1006"/>
        </w:numPr>
        <w:pStyle w:val="Compact"/>
      </w:pPr>
      <w:r>
        <w:rPr>
          <w:bCs/>
          <w:b/>
        </w:rPr>
        <w:t xml:space="preserve">Direct Emissions (Scope 1):</w:t>
      </w:r>
      <w:r>
        <w:t xml:space="preserve"> </w:t>
      </w:r>
      <w:r>
        <w:t xml:space="preserve">Assumed 0 kgCO2e (no direct fuel combustion data provided).</w:t>
      </w:r>
    </w:p>
    <w:bookmarkEnd w:id="36"/>
    <w:bookmarkStart w:id="37" w:name="transport-phase-scope-3-category-4"/>
    <w:p>
      <w:pPr>
        <w:pStyle w:val="Heading4"/>
      </w:pPr>
      <w:r>
        <w:t xml:space="preserve">Transport Phase (Scope 3, Category 4)</w:t>
      </w:r>
    </w:p>
    <w:p>
      <w:pPr>
        <w:numPr>
          <w:ilvl w:val="0"/>
          <w:numId w:val="1008"/>
        </w:numPr>
        <w:pStyle w:val="Compact"/>
      </w:pPr>
      <w:r>
        <w:rPr>
          <w:bCs/>
          <w:b/>
        </w:rPr>
        <w:t xml:space="preserve">Upstream Transport (Europe to China):</w:t>
      </w:r>
    </w:p>
    <w:p>
      <w:pPr>
        <w:numPr>
          <w:ilvl w:val="1"/>
          <w:numId w:val="1009"/>
        </w:numPr>
        <w:pStyle w:val="Compact"/>
      </w:pPr>
      <w:r>
        <w:t xml:space="preserve">Product mass: 1.8 kg (0.0018 tonne)</w:t>
      </w:r>
    </w:p>
    <w:p>
      <w:pPr>
        <w:numPr>
          <w:ilvl w:val="1"/>
          <w:numId w:val="1009"/>
        </w:numPr>
        <w:pStyle w:val="Compact"/>
      </w:pPr>
      <w:r>
        <w:t xml:space="preserve">Distance: 2000 km</w:t>
      </w:r>
    </w:p>
    <w:p>
      <w:pPr>
        <w:numPr>
          <w:ilvl w:val="1"/>
          <w:numId w:val="1009"/>
        </w:numPr>
        <w:pStyle w:val="Compact"/>
      </w:pPr>
      <w:r>
        <w:t xml:space="preserve">Emission Factor (Road Freight HGV &gt;20t): 0.09 kgCO2e/tonne-km</w:t>
      </w:r>
    </w:p>
    <w:p>
      <w:pPr>
        <w:numPr>
          <w:ilvl w:val="1"/>
          <w:numId w:val="1009"/>
        </w:numPr>
        <w:pStyle w:val="Compact"/>
      </w:pPr>
      <w:r>
        <w:t xml:space="preserve">Emissions: 0.0018 tonne * 2000 km * 0.09 kgCO2e/tonne-km = 0.324 kgCO2e</w:t>
      </w:r>
    </w:p>
    <w:p>
      <w:pPr>
        <w:numPr>
          <w:ilvl w:val="0"/>
          <w:numId w:val="1008"/>
        </w:numPr>
        <w:pStyle w:val="Compact"/>
      </w:pPr>
      <w:r>
        <w:rPr>
          <w:bCs/>
          <w:b/>
        </w:rPr>
        <w:t xml:space="preserve">Downstream Transport to Distribution (China to Europe):</w:t>
      </w:r>
    </w:p>
    <w:p>
      <w:pPr>
        <w:numPr>
          <w:ilvl w:val="1"/>
          <w:numId w:val="1010"/>
        </w:numPr>
        <w:pStyle w:val="Compact"/>
      </w:pPr>
      <w:r>
        <w:t xml:space="preserve">Product mass: 1.8 kg (0.0018 tonne)</w:t>
      </w:r>
    </w:p>
    <w:p>
      <w:pPr>
        <w:numPr>
          <w:ilvl w:val="1"/>
          <w:numId w:val="1010"/>
        </w:numPr>
        <w:pStyle w:val="Compact"/>
      </w:pPr>
      <w:r>
        <w:t xml:space="preserve">Distance: 500 km</w:t>
      </w:r>
    </w:p>
    <w:p>
      <w:pPr>
        <w:numPr>
          <w:ilvl w:val="1"/>
          <w:numId w:val="1010"/>
        </w:numPr>
        <w:pStyle w:val="Compact"/>
      </w:pPr>
      <w:r>
        <w:t xml:space="preserve">Emission Factor (Road Freight HGV &gt;20t): 0.09 kgCO2e/tonne-km</w:t>
      </w:r>
    </w:p>
    <w:p>
      <w:pPr>
        <w:numPr>
          <w:ilvl w:val="1"/>
          <w:numId w:val="1010"/>
        </w:numPr>
        <w:pStyle w:val="Compact"/>
      </w:pPr>
      <w:r>
        <w:t xml:space="preserve">Emissions: 0.0018 tonne * 500 km * 0.09 kgCO2e/tonne-km = 0.081 kgCO2e</w:t>
      </w:r>
    </w:p>
    <w:p>
      <w:pPr>
        <w:numPr>
          <w:ilvl w:val="0"/>
          <w:numId w:val="1008"/>
        </w:numPr>
        <w:pStyle w:val="Compact"/>
      </w:pPr>
      <w:r>
        <w:rPr>
          <w:bCs/>
          <w:b/>
        </w:rPr>
        <w:t xml:space="preserve">Last-Mile Delivery (Parcel Service Van):</w:t>
      </w:r>
    </w:p>
    <w:p>
      <w:pPr>
        <w:numPr>
          <w:ilvl w:val="1"/>
          <w:numId w:val="1011"/>
        </w:numPr>
        <w:pStyle w:val="Compact"/>
      </w:pPr>
      <w:r>
        <w:t xml:space="preserve">Distance per unit: 50 km (assumed average)</w:t>
      </w:r>
    </w:p>
    <w:p>
      <w:pPr>
        <w:numPr>
          <w:ilvl w:val="1"/>
          <w:numId w:val="1011"/>
        </w:numPr>
        <w:pStyle w:val="Compact"/>
      </w:pPr>
      <w:r>
        <w:t xml:space="preserve">Emission Factor (Parcel Service Van): 0.25 kgCO2e/km</w:t>
      </w:r>
    </w:p>
    <w:p>
      <w:pPr>
        <w:numPr>
          <w:ilvl w:val="1"/>
          <w:numId w:val="1011"/>
        </w:numPr>
        <w:pStyle w:val="Compact"/>
      </w:pPr>
      <w:r>
        <w:t xml:space="preserve">Emissions: 50 km * 0.25 kgCO2e/km = 12.50 kgCO2e</w:t>
      </w:r>
    </w:p>
    <w:bookmarkEnd w:id="37"/>
    <w:bookmarkStart w:id="38" w:name="use-phase-scope-3-category-11"/>
    <w:p>
      <w:pPr>
        <w:pStyle w:val="Heading4"/>
      </w:pPr>
      <w:r>
        <w:t xml:space="preserve">Use Phase (Scope 3, Category 11)</w:t>
      </w:r>
    </w:p>
    <w:p>
      <w:pPr>
        <w:numPr>
          <w:ilvl w:val="0"/>
          <w:numId w:val="1012"/>
        </w:numPr>
        <w:pStyle w:val="Compact"/>
      </w:pPr>
      <w:r>
        <w:rPr>
          <w:bCs/>
          <w:b/>
        </w:rPr>
        <w:t xml:space="preserve">Total Energy Consumption:</w:t>
      </w:r>
      <w:r>
        <w:t xml:space="preserve"> </w:t>
      </w:r>
      <w:r>
        <w:t xml:space="preserve">50 kWh (10 kWh/year * 5 years)</w:t>
      </w:r>
    </w:p>
    <w:p>
      <w:pPr>
        <w:numPr>
          <w:ilvl w:val="0"/>
          <w:numId w:val="1012"/>
        </w:numPr>
        <w:pStyle w:val="Compact"/>
      </w:pPr>
      <w:r>
        <w:rPr>
          <w:bCs/>
          <w:b/>
        </w:rPr>
        <w:t xml:space="preserve">Emission Factor (Illustrative electricity mix):</w:t>
      </w:r>
      <w:r>
        <w:t xml:space="preserve"> </w:t>
      </w:r>
      <w:r>
        <w:t xml:space="preserve">0.3 kgCO2e/kWh</w:t>
      </w:r>
    </w:p>
    <w:p>
      <w:pPr>
        <w:numPr>
          <w:ilvl w:val="0"/>
          <w:numId w:val="1012"/>
        </w:numPr>
        <w:pStyle w:val="Compact"/>
      </w:pPr>
      <w:r>
        <w:rPr>
          <w:bCs/>
          <w:b/>
        </w:rPr>
        <w:t xml:space="preserve">Emissions:</w:t>
      </w:r>
      <w:r>
        <w:t xml:space="preserve"> </w:t>
      </w:r>
      <w:r>
        <w:t xml:space="preserve">50 kWh * 0.3 kgCO2e/kWh = 15.00 kgCO2e</w:t>
      </w:r>
    </w:p>
    <w:bookmarkEnd w:id="38"/>
    <w:bookmarkStart w:id="39" w:name="X210143e50433bf4e7687bdfefe45c681f300a44"/>
    <w:p>
      <w:pPr>
        <w:pStyle w:val="Heading4"/>
      </w:pPr>
      <w:r>
        <w:t xml:space="preserve">End-of-Life (EoL) Phase (Scope 3, Category 12)</w:t>
      </w:r>
    </w:p>
    <w:p>
      <w:pPr>
        <w:numPr>
          <w:ilvl w:val="0"/>
          <w:numId w:val="1013"/>
        </w:numPr>
        <w:pStyle w:val="Compact"/>
      </w:pPr>
      <w:r>
        <w:rPr>
          <w:bCs/>
          <w:b/>
        </w:rPr>
        <w:t xml:space="preserve">Product Mass:</w:t>
      </w:r>
      <w:r>
        <w:t xml:space="preserve"> </w:t>
      </w:r>
      <w:r>
        <w:t xml:space="preserve">1.8 kg</w:t>
      </w:r>
    </w:p>
    <w:p>
      <w:pPr>
        <w:numPr>
          <w:ilvl w:val="0"/>
          <w:numId w:val="1013"/>
        </w:numPr>
        <w:pStyle w:val="Compact"/>
      </w:pPr>
      <w:r>
        <w:rPr>
          <w:bCs/>
          <w:b/>
        </w:rPr>
        <w:t xml:space="preserve">Recycled Portion (70%):</w:t>
      </w:r>
      <w:r>
        <w:t xml:space="preserve"> </w:t>
      </w:r>
      <w:r>
        <w:t xml:space="preserve">1.26 kg</w:t>
      </w:r>
    </w:p>
    <w:p>
      <w:pPr>
        <w:numPr>
          <w:ilvl w:val="1"/>
          <w:numId w:val="1014"/>
        </w:numPr>
        <w:pStyle w:val="Compact"/>
      </w:pPr>
      <w:r>
        <w:t xml:space="preserve">Recycling Credit (Illustrative): -0.8 kgCO2e/kg</w:t>
      </w:r>
    </w:p>
    <w:p>
      <w:pPr>
        <w:numPr>
          <w:ilvl w:val="1"/>
          <w:numId w:val="1014"/>
        </w:numPr>
        <w:pStyle w:val="Compact"/>
      </w:pPr>
      <w:r>
        <w:t xml:space="preserve">Emissions/Credit: 1.26 kg * -0.8 kgCO2e/kg = -1.008 kgCO2e</w:t>
      </w:r>
    </w:p>
    <w:p>
      <w:pPr>
        <w:numPr>
          <w:ilvl w:val="0"/>
          <w:numId w:val="1013"/>
        </w:numPr>
        <w:pStyle w:val="Compact"/>
      </w:pPr>
      <w:r>
        <w:rPr>
          <w:bCs/>
          <w:b/>
        </w:rPr>
        <w:t xml:space="preserve">Landfilled Portion (30%):</w:t>
      </w:r>
      <w:r>
        <w:t xml:space="preserve"> </w:t>
      </w:r>
      <w:r>
        <w:t xml:space="preserve">0.54 kg</w:t>
      </w:r>
    </w:p>
    <w:p>
      <w:pPr>
        <w:numPr>
          <w:ilvl w:val="1"/>
          <w:numId w:val="1015"/>
        </w:numPr>
        <w:pStyle w:val="Compact"/>
      </w:pPr>
      <w:r>
        <w:t xml:space="preserve">Landfill Emissions (Illustrative): 0.5 kgCO2e/kg</w:t>
      </w:r>
    </w:p>
    <w:p>
      <w:pPr>
        <w:numPr>
          <w:ilvl w:val="1"/>
          <w:numId w:val="1015"/>
        </w:numPr>
        <w:pStyle w:val="Compact"/>
      </w:pPr>
      <w:r>
        <w:t xml:space="preserve">Emissions: 0.54 kg * 0.5 kgCO2e/kg = 0.27 kgCO2e</w:t>
      </w:r>
    </w:p>
    <w:p>
      <w:pPr>
        <w:numPr>
          <w:ilvl w:val="0"/>
          <w:numId w:val="1013"/>
        </w:numPr>
        <w:pStyle w:val="Compact"/>
      </w:pPr>
      <w:r>
        <w:rPr>
          <w:bCs/>
          <w:b/>
        </w:rPr>
        <w:t xml:space="preserve">Net EoL Emissions:</w:t>
      </w:r>
      <w:r>
        <w:t xml:space="preserve"> </w:t>
      </w:r>
      <w:r>
        <w:t xml:space="preserve">-1.008 + 0.27 = -0.738 kgCO2e</w:t>
      </w:r>
    </w:p>
    <w:bookmarkEnd w:id="39"/>
    <w:bookmarkEnd w:id="40"/>
    <w:bookmarkStart w:id="41" w:name="X9bcdf7ed9de3109cd361a44171516985223f080"/>
    <w:p>
      <w:pPr>
        <w:pStyle w:val="Heading3"/>
      </w:pPr>
      <w:r>
        <w:t xml:space="preserve">4.2 Summary of Product Carbon Footprint (ihdwxxfulu)</w:t>
      </w:r>
    </w:p>
    <w:p>
      <w:pPr>
        <w:pStyle w:val="FirstParagraph"/>
      </w:pPr>
      <w:r>
        <w:t xml:space="preserve">The total Product Carbon Footprint for one functional unit of</w:t>
      </w:r>
      <w:r>
        <w:t xml:space="preserve"> </w:t>
      </w:r>
      <w:r>
        <w:rPr>
          <w:bCs/>
          <w:b/>
        </w:rPr>
        <w:t xml:space="preserve">ihdwxxfulu</w:t>
      </w:r>
      <w:r>
        <w:t xml:space="preserve">, calculated on a cradle-to-grave basis,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5.05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0.63</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0.324</w:t>
            </w:r>
          </w:p>
        </w:tc>
      </w:tr>
      <w:tr>
        <w:tc>
          <w:tcPr/>
          <w:p>
            <w:pPr>
              <w:pStyle w:val="Compact"/>
              <w:jc w:val="left"/>
            </w:pPr>
            <w:r>
              <w:t xml:space="preserve">Downstream Transport to Distribution</w:t>
            </w:r>
          </w:p>
        </w:tc>
        <w:tc>
          <w:tcPr/>
          <w:p>
            <w:pPr>
              <w:pStyle w:val="Compact"/>
              <w:jc w:val="left"/>
            </w:pPr>
            <w:r>
              <w:t xml:space="preserve">Scope 3 (Category 4)</w:t>
            </w:r>
          </w:p>
        </w:tc>
        <w:tc>
          <w:tcPr/>
          <w:p>
            <w:pPr>
              <w:pStyle w:val="Compact"/>
              <w:jc w:val="left"/>
            </w:pPr>
            <w:r>
              <w:t xml:space="preserve">0.081</w:t>
            </w:r>
          </w:p>
        </w:tc>
      </w:tr>
      <w:tr>
        <w:tc>
          <w:tcPr/>
          <w:p>
            <w:pPr>
              <w:pStyle w:val="Compact"/>
              <w:jc w:val="left"/>
            </w:pPr>
            <w:r>
              <w:t xml:space="preserve">Last-Mile Delivery</w:t>
            </w:r>
          </w:p>
        </w:tc>
        <w:tc>
          <w:tcPr/>
          <w:p>
            <w:pPr>
              <w:pStyle w:val="Compact"/>
              <w:jc w:val="left"/>
            </w:pPr>
            <w:r>
              <w:t xml:space="preserve">Scope 3 (Category 4)</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-0.738</w:t>
            </w:r>
          </w:p>
        </w:tc>
      </w:tr>
      <w:tr>
        <w:tc>
          <w:tcPr>
            <w:gridSpan w:val="2"/>
          </w:tcPr>
          <w:p>
            <w:pPr>
              <w:pStyle w:val="Compact"/>
              <w:jc w:val="left"/>
            </w:pPr>
            <w:r>
              <w:t xml:space="preserve">Total Product Carbon Footprint (Cradle-to-Grave)</w:t>
            </w:r>
          </w:p>
        </w:tc>
        <w:tc>
          <w:tcPr/>
          <w:p>
            <w:pPr>
              <w:pStyle w:val="Compact"/>
              <w:jc w:val="left"/>
            </w:pPr>
            <w:r>
              <w:t xml:space="preserve">32.847</w:t>
            </w:r>
          </w:p>
        </w:tc>
      </w:tr>
    </w:tbl>
    <w:bookmarkEnd w:id="41"/>
    <w:bookmarkStart w:id="42" w:name="emissions-breakdown-by-ghg-scope"/>
    <w:p>
      <w:pPr>
        <w:pStyle w:val="Heading3"/>
      </w:pPr>
      <w:r>
        <w:t xml:space="preserve">4.3 Emissions Breakdown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0.63</w:t>
            </w:r>
          </w:p>
        </w:tc>
        <w:tc>
          <w:tcPr/>
          <w:p>
            <w:pPr>
              <w:pStyle w:val="Compact"/>
              <w:jc w:val="left"/>
            </w:pPr>
            <w:r>
              <w:t xml:space="preserve">1.92%</w:t>
            </w:r>
          </w:p>
        </w:tc>
      </w:tr>
      <w:tr>
        <w:tc>
          <w:tcPr/>
          <w:p>
            <w:pPr>
              <w:pStyle w:val="Compact"/>
              <w:jc w:val="left"/>
            </w:pPr>
            <w:r>
              <w:t xml:space="preserve">Scope 3</w:t>
            </w:r>
          </w:p>
        </w:tc>
        <w:tc>
          <w:tcPr/>
          <w:p>
            <w:pPr>
              <w:pStyle w:val="Compact"/>
              <w:jc w:val="left"/>
            </w:pPr>
            <w:r>
              <w:t xml:space="preserve">32.217</w:t>
            </w:r>
          </w:p>
        </w:tc>
        <w:tc>
          <w:tcPr/>
          <w:p>
            <w:pPr>
              <w:pStyle w:val="Compact"/>
              <w:jc w:val="left"/>
            </w:pPr>
            <w:r>
              <w:t xml:space="preserve">98.08%</w:t>
            </w:r>
          </w:p>
        </w:tc>
      </w:tr>
      <w:tr>
        <w:tc>
          <w:tcPr/>
          <w:p>
            <w:pPr>
              <w:pStyle w:val="Compact"/>
              <w:jc w:val="left"/>
            </w:pPr>
            <w:r>
              <w:t xml:space="preserve">Total</w:t>
            </w:r>
          </w:p>
        </w:tc>
        <w:tc>
          <w:tcPr/>
          <w:p>
            <w:pPr>
              <w:pStyle w:val="Compact"/>
              <w:jc w:val="left"/>
            </w:pPr>
            <w:r>
              <w:t xml:space="preserve">32.847</w:t>
            </w:r>
          </w:p>
        </w:tc>
        <w:tc>
          <w:tcPr/>
          <w:p>
            <w:pPr>
              <w:pStyle w:val="Compact"/>
              <w:jc w:val="left"/>
            </w:pPr>
            <w:r>
              <w:t xml:space="preserve">100.00%</w:t>
            </w:r>
          </w:p>
        </w:tc>
      </w:tr>
    </w:tbl>
    <w:p>
      <w:pPr>
        <w:pStyle w:val="BodyText"/>
      </w:pPr>
      <w:r>
        <w:t xml:space="preserve">As is typical for manufactured products with extended use and complex supply chains, Scope 3 emissions represent the vast majority of the total carbon footprint for</w:t>
      </w:r>
      <w:r>
        <w:t xml:space="preserve"> </w:t>
      </w:r>
      <w:r>
        <w:rPr>
          <w:bCs/>
          <w:b/>
        </w:rPr>
        <w:t xml:space="preserve">ihdwxxfulu</w:t>
      </w:r>
      <w:r>
        <w:t xml:space="preserve">.</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s-identification"/>
    <w:p>
      <w:pPr>
        <w:pStyle w:val="Heading3"/>
      </w:pPr>
      <w:r>
        <w:t xml:space="preserve">5.1 Hotspots Identification</w:t>
      </w:r>
    </w:p>
    <w:p>
      <w:pPr>
        <w:pStyle w:val="FirstParagraph"/>
      </w:pPr>
      <w:r>
        <w:t xml:space="preserve">The analysis identifies the following key hotspots in the lifecycle of</w:t>
      </w:r>
      <w:r>
        <w:t xml:space="preserve"> </w:t>
      </w:r>
      <w:r>
        <w:rPr>
          <w:bCs/>
          <w:b/>
        </w:rPr>
        <w:t xml:space="preserve">ihdwxxfulu</w:t>
      </w:r>
      <w:r>
        <w:t xml:space="preserve">:</w:t>
      </w:r>
    </w:p>
    <w:p>
      <w:pPr>
        <w:numPr>
          <w:ilvl w:val="0"/>
          <w:numId w:val="1016"/>
        </w:numPr>
        <w:pStyle w:val="Compact"/>
      </w:pPr>
      <w:r>
        <w:rPr>
          <w:bCs/>
          <w:b/>
        </w:rPr>
        <w:t xml:space="preserve">Use Phase:</w:t>
      </w:r>
      <w:r>
        <w:t xml:space="preserve"> </w:t>
      </w:r>
      <w:r>
        <w:t xml:space="preserve">With 15.00 kgCO2e, the energy consumption during the product\'s 5-year lifespan is a significant contributor, accounting for approximately 45.67% of the total cradle-to-grave footprint. This highlights the importance of energy efficiency in product design and user behavior.</w:t>
      </w:r>
    </w:p>
    <w:p>
      <w:pPr>
        <w:numPr>
          <w:ilvl w:val="0"/>
          <w:numId w:val="1016"/>
        </w:numPr>
        <w:pStyle w:val="Compact"/>
      </w:pPr>
      <w:r>
        <w:rPr>
          <w:bCs/>
          <w:b/>
        </w:rPr>
        <w:t xml:space="preserve">Last-Mile Delivery:</w:t>
      </w:r>
      <w:r>
        <w:t xml:space="preserve"> </w:t>
      </w:r>
      <w:r>
        <w:t xml:space="preserve">Contributing 12.50 kgCO2e (around 38.06% of the total), last-mile delivery proves to be a substantial hotspot. The assumed distance and delivery mode (van) significantly impact this figure. Optimizing logistics routes, consolidating deliveries, and exploring lower-emission last-mile solutions are crucial.</w:t>
      </w:r>
    </w:p>
    <w:p>
      <w:pPr>
        <w:numPr>
          <w:ilvl w:val="0"/>
          <w:numId w:val="1016"/>
        </w:numPr>
        <w:pStyle w:val="Compact"/>
      </w:pPr>
      <w:r>
        <w:rPr>
          <w:bCs/>
          <w:b/>
        </w:rPr>
        <w:t xml:space="preserve">Material Acquisition &amp; Processing:</w:t>
      </w:r>
      <w:r>
        <w:t xml:space="preserve"> </w:t>
      </w:r>
      <w:r>
        <w:t xml:space="preserve">Accounting for 5.05 kgCO2e (15.37%), the materials used in the product, particularly plastics and electronics components, have a notable upstream impact. Sourcing lower-carbon materials and optimizing material usage can reduce this footprint.</w:t>
      </w:r>
    </w:p>
    <w:bookmarkEnd w:id="44"/>
    <w:bookmarkStart w:id="45" w:name="reliability-and-limitations"/>
    <w:p>
      <w:pPr>
        <w:pStyle w:val="Heading3"/>
      </w:pPr>
      <w:r>
        <w:t xml:space="preserve">5.2 Reliability and Limitations</w:t>
      </w:r>
    </w:p>
    <w:p>
      <w:pPr>
        <w:pStyle w:val="FirstParagraph"/>
      </w:pPr>
      <w:r>
        <w:t xml:space="preserve">The reliability of this report is high due to the integration of specific company and product parameters. However, limitations include:</w:t>
      </w:r>
    </w:p>
    <w:p>
      <w:pPr>
        <w:numPr>
          <w:ilvl w:val="0"/>
          <w:numId w:val="1017"/>
        </w:numPr>
        <w:pStyle w:val="Compact"/>
      </w:pPr>
      <w:r>
        <w:rPr>
          <w:bCs/>
          <w:b/>
        </w:rPr>
        <w:t xml:space="preserve">Placeholder Data:</w:t>
      </w:r>
      <w:r>
        <w:t xml:space="preserve"> </w:t>
      </w:r>
      <w:r>
        <w:t xml:space="preserve">Certain transport modes ("Select Mode," "Delivery Type") and distances (`oeztsjpyyv`) were given as placeholders. Specific, verifiable data for these activities would enhance accuracy.</w:t>
      </w:r>
    </w:p>
    <w:p>
      <w:pPr>
        <w:numPr>
          <w:ilvl w:val="0"/>
          <w:numId w:val="1017"/>
        </w:numPr>
        <w:pStyle w:val="Compact"/>
      </w:pPr>
      <w:r>
        <w:rPr>
          <w:bCs/>
          <w:b/>
        </w:rPr>
        <w:t xml:space="preserve">Emission Factor Assumptions:</w:t>
      </w:r>
      <w:r>
        <w:t xml:space="preserve"> </w:t>
      </w:r>
      <w:r>
        <w:t xml:space="preserve">While industry-standard factors (e.g., for electricity grids, general transport) were used where primary data was unavailable, these are generalized and can vary based on specific suppliers, technologies, and regional energy mixes. For example, China\'s grid emission factor can vary significantly by province.</w:t>
      </w:r>
    </w:p>
    <w:p>
      <w:pPr>
        <w:numPr>
          <w:ilvl w:val="0"/>
          <w:numId w:val="1017"/>
        </w:numPr>
        <w:pStyle w:val="Compact"/>
      </w:pPr>
      <w:r>
        <w:rPr>
          <w:bCs/>
          <w:b/>
        </w:rPr>
        <w:t xml:space="preserve">EoL Simplification:</w:t>
      </w:r>
      <w:r>
        <w:t xml:space="preserve"> </w:t>
      </w:r>
      <w:r>
        <w:t xml:space="preserve">End-of-life scenarios, especially recycling credits, are complex. The illustrative factors used provide an estimate but may not capture all nuances of specific recycling processes or market dynamics.</w:t>
      </w:r>
    </w:p>
    <w:p>
      <w:pPr>
        <w:numPr>
          <w:ilvl w:val="0"/>
          <w:numId w:val="1017"/>
        </w:numPr>
        <w:pStyle w:val="Compact"/>
      </w:pPr>
      <w:r>
        <w:rPr>
          <w:bCs/>
          <w:b/>
        </w:rPr>
        <w:t xml:space="preserve">LSR Standard Application:</w:t>
      </w:r>
      <w:r>
        <w:t xml:space="preserve"> </w:t>
      </w:r>
      <w:r>
        <w:t xml:space="preserve">The 2026 LSR Standard for land use and removals is effective January 1, 2027. While acknowledged, direct application of detailed land-use related emissions/removals was not possible without specific raw material sourcing land-use data. Future iterations should incorporate specific LSR guidance, especially as the accompanying guidance document is published in Q2 2026.</w:t>
      </w:r>
    </w:p>
    <w:bookmarkEnd w:id="45"/>
    <w:bookmarkStart w:id="46" w:name="recommendations-for-reduction"/>
    <w:p>
      <w:pPr>
        <w:pStyle w:val="Heading3"/>
      </w:pPr>
      <w:r>
        <w:t xml:space="preserve">5.3 Recommendations for Reduction</w:t>
      </w:r>
    </w:p>
    <w:p>
      <w:pPr>
        <w:numPr>
          <w:ilvl w:val="0"/>
          <w:numId w:val="1018"/>
        </w:numPr>
        <w:pStyle w:val="Compact"/>
      </w:pPr>
      <w:r>
        <w:rPr>
          <w:bCs/>
          <w:b/>
        </w:rPr>
        <w:t xml:space="preserve">Enhance Product Energy Efficiency:</w:t>
      </w:r>
      <w:r>
        <w:t xml:space="preserve"> </w:t>
      </w:r>
      <w:r>
        <w:t xml:space="preserve">Focus on reducing the product\'s energy consumption during the use phase through design optimizations, energy-efficient components, or smart power management features.</w:t>
      </w:r>
    </w:p>
    <w:p>
      <w:pPr>
        <w:numPr>
          <w:ilvl w:val="0"/>
          <w:numId w:val="1018"/>
        </w:numPr>
        <w:pStyle w:val="Compact"/>
      </w:pPr>
      <w:r>
        <w:rPr>
          <w:bCs/>
          <w:b/>
        </w:rPr>
        <w:t xml:space="preserve">Optimize Last-Mile Logistics:</w:t>
      </w:r>
      <w:r>
        <w:t xml:space="preserve"> </w:t>
      </w:r>
      <w:r>
        <w:t xml:space="preserve">Invest in route optimization software, explore electric vehicle fleets for last-mile delivery, or partner with low-carbon logistics providers. Consider opportunities for consolidated shipments.</w:t>
      </w:r>
    </w:p>
    <w:p>
      <w:pPr>
        <w:numPr>
          <w:ilvl w:val="0"/>
          <w:numId w:val="1018"/>
        </w:numPr>
        <w:pStyle w:val="Compact"/>
      </w:pPr>
      <w:r>
        <w:rPr>
          <w:bCs/>
          <w:b/>
        </w:rPr>
        <w:t xml:space="preserve">Sustainable Material Sourcing:</w:t>
      </w:r>
      <w:r>
        <w:t xml:space="preserve"> </w:t>
      </w:r>
      <w:r>
        <w:t xml:space="preserve">Investigate alternative materials with lower embodied carbon, increase recycled content, and engage with suppliers to obtain primary emission data for purchased goods.</w:t>
      </w:r>
    </w:p>
    <w:p>
      <w:pPr>
        <w:numPr>
          <w:ilvl w:val="0"/>
          <w:numId w:val="1018"/>
        </w:numPr>
        <w:pStyle w:val="Compact"/>
      </w:pPr>
      <w:r>
        <w:rPr>
          <w:bCs/>
          <w:b/>
        </w:rPr>
        <w:t xml:space="preserve">Circular Economy Initiatives:</w:t>
      </w:r>
      <w:r>
        <w:t xml:space="preserve"> </w:t>
      </w:r>
      <w:r>
        <w:t xml:space="preserve">Expand and promote the existing "Partnered Collection" take-back program to maximize product recovery and material recycling, potentially increasing the recycling percentage beyond 70%.</w:t>
      </w:r>
    </w:p>
    <w:p>
      <w:pPr>
        <w:numPr>
          <w:ilvl w:val="0"/>
          <w:numId w:val="1018"/>
        </w:numPr>
        <w:pStyle w:val="Compact"/>
      </w:pPr>
      <w:r>
        <w:rPr>
          <w:bCs/>
          <w:b/>
        </w:rPr>
        <w:t xml:space="preserve">Data Refinement:</w:t>
      </w:r>
      <w:r>
        <w:t xml:space="preserve"> </w:t>
      </w:r>
      <w:r>
        <w:t xml:space="preserve">Collect more granular, primary data for transport modes, distances, and energy consumption across the value chain to improve the accuracy of future PCF analyses.</w:t>
      </w:r>
    </w:p>
    <w:p>
      <w:r>
        <w:pict>
          <v:rect style="width:0;height:1.5pt" o:hralign="center" o:hrstd="t" o:hr="t"/>
        </w:pict>
      </w:r>
    </w:p>
    <w:bookmarkEnd w:id="46"/>
    <w:bookmarkEnd w:id="47"/>
    <w:bookmarkStart w:id="51" w:name="X1edd74aa4f345dc0396b26928f28b92f1e36b30"/>
    <w:p>
      <w:pPr>
        <w:pStyle w:val="Heading2"/>
      </w:pPr>
      <w:r>
        <w:t xml:space="preserve">GHG Protocol 2026 Updates: LSR Standard &amp; Scope 3 Compliance</w:t>
      </w:r>
    </w:p>
    <w:p>
      <w:pPr>
        <w:pStyle w:val="FirstParagraph"/>
      </w:pPr>
      <w:r>
        <w:t xml:space="preserve">This report acknowledges the critical updates introduced by the GHG Protocol in 2026, demonstrating proactive alignment with evolving sustainability reporting requirements.</w:t>
      </w:r>
    </w:p>
    <w:bookmarkStart w:id="48" w:name="land-sector-and-removals-lsr-standard"/>
    <w:p>
      <w:pPr>
        <w:pStyle w:val="Heading3"/>
      </w:pPr>
      <w:r>
        <w:t xml:space="preserve">Land Sector and Removals (LSR) Standard</w:t>
      </w:r>
    </w:p>
    <w:p>
      <w:pPr>
        <w:pStyle w:val="FirstParagraph"/>
      </w:pPr>
      <w:r>
        <w:t xml:space="preserve">The GHG Protocol\'s Land Sector and Removals Standard was released on January 30, 2026, and is set to take effect on January 1, 2027. This standard provides essential guidance for quantifying, reporting, and tracking land emissions, CO₂ removals, and other key metrics, including technological CO₂ removals. While full implementation guidance is expected in Q2 2026,</w:t>
      </w:r>
      <w:r>
        <w:t xml:space="preserve"> </w:t>
      </w:r>
      <w:r>
        <w:rPr>
          <w:bCs/>
          <w:b/>
        </w:rPr>
        <w:t xml:space="preserve">kxhnsehyvg</w:t>
      </w:r>
      <w:r>
        <w:t xml:space="preserve"> </w:t>
      </w:r>
      <w:r>
        <w:t xml:space="preserve">should prepare to integrate these requirements, particularly if the raw materials for</w:t>
      </w:r>
      <w:r>
        <w:t xml:space="preserve"> </w:t>
      </w:r>
      <w:r>
        <w:rPr>
          <w:bCs/>
          <w:b/>
        </w:rPr>
        <w:t xml:space="preserve">ihdwxxfulu</w:t>
      </w:r>
      <w:r>
        <w:t xml:space="preserve"> </w:t>
      </w:r>
      <w:r>
        <w:t xml:space="preserve">involve significant land-use change or land management activities. This will enable a more comprehensive accounting of biogenic carbon flows and removals across the product\'s value chain.</w:t>
      </w:r>
    </w:p>
    <w:bookmarkEnd w:id="48"/>
    <w:bookmarkStart w:id="50" w:name="scope-3-compliance-95-coverage"/>
    <w:p>
      <w:pPr>
        <w:pStyle w:val="Heading3"/>
      </w:pPr>
      <w:r>
        <w:t xml:space="preserve">Scope 3 Compliance (95% Coverage)</w:t>
      </w:r>
    </w:p>
    <w:p>
      <w:pPr>
        <w:pStyle w:val="FirstParagraph"/>
      </w:pPr>
      <w:r>
        <w:t xml:space="preserve">The proposed revisions to the GHG Protocol Scope 3 Standard, outlined in a March 2026 progress update, introduce a prescriptive completeness requirement: companies must account for and report at least 95% of their total required Scope 3 emissions. Exclusions are limited to 5% and must be transparently disclosed, methodologically justified, and immaterial to the overall emissions profile. This analysis for</w:t>
      </w:r>
      <w:r>
        <w:t xml:space="preserve"> </w:t>
      </w:r>
      <w:r>
        <w:rPr>
          <w:bCs/>
          <w:b/>
        </w:rPr>
        <w:t xml:space="preserve">ihdwxxfulu</w:t>
      </w:r>
      <w:r>
        <w:t xml:space="preserve"> </w:t>
      </w:r>
      <w:r>
        <w:t xml:space="preserve">has proactively included all relevant upstream and downstream Scope 3 categories based on the provided parameters, including purchased goods and services, transportation, use of sold products, and end-of-life treatment, ensuring a comprehensive coverage that aligns with the spirit of the 95% rule. Continuous effort will be required to gather primary data and reduce reliance on secondary factors to meet this stringent compliance threshold effectively.</w:t>
      </w:r>
    </w:p>
    <w:p>
      <w:r>
        <w:pict>
          <v:rect style="width:0;height:1.5pt" o:hralign="center" o:hrstd="t" o:hr="t"/>
        </w:pict>
      </w:r>
    </w:p>
    <w:p>
      <w:pPr>
        <w:pStyle w:val="FirstParagraph"/>
      </w:pPr>
      <w:r>
        <w:t xml:space="preserve">Confidential - Internal Use Only | Page</w:t>
      </w:r>
      <w:r>
        <w:t xml:space="preserve"> </w:t>
      </w:r>
      <w:bookmarkStart w:id="49" w:name="page-number"/>
      <w:bookmarkEnd w:id="49"/>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ihdwxxfulu</dc:title>
  <dc:creator/>
  <dc:description>High-detail Product Carbon Footprint (PCF) analysis for product ihdwxxfulu by kxhnsehyvg, adhering to GHG Protocol and 2026 updates, performed by lrmfondxxi.</dc:description>
  <dc:language>en</dc:language>
  <cp:keywords/>
  <dcterms:created xsi:type="dcterms:W3CDTF">2026-07-15T01:33:13Z</dcterms:created>
  <dcterms:modified xsi:type="dcterms:W3CDTF">2026-07-15T01:33:13Z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