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ieiryesnyt</w:t>
      </w:r>
    </w:p>
    <w:p>
      <w:pPr>
        <w:pStyle w:val="FirstParagraph"/>
      </w:pPr>
      <w:r>
        <w:rPr>
          <w:bCs/>
          <w:b/>
        </w:rPr>
        <w:t xml:space="preserve">carboncalcpcf.com</w:t>
      </w:r>
    </w:p>
    <w:bookmarkStart w:id="21" w:name="product-carbon-footprint-analysis"/>
    <w:p>
      <w:pPr>
        <w:pStyle w:val="Heading1"/>
      </w:pPr>
      <w:r>
        <w:t xml:space="preserve">Product Carbon Footprint Analysis</w:t>
      </w:r>
    </w:p>
    <w:bookmarkStart w:id="20" w:name="product-ieiryesnyt"/>
    <w:p>
      <w:pPr>
        <w:pStyle w:val="Heading2"/>
      </w:pPr>
      <w:r>
        <w:t xml:space="preserve">Product: ieiryesnyt</w:t>
      </w:r>
    </w:p>
    <w:p>
      <w:pPr>
        <w:pStyle w:val="FirstParagraph"/>
      </w:pPr>
      <w:r>
        <w:rPr>
          <w:bCs/>
          <w:b/>
        </w:rPr>
        <w:t xml:space="preserve">Accounting Standard:</w:t>
      </w:r>
      <w:r>
        <w:t xml:space="preserve"> </w:t>
      </w:r>
      <w:r>
        <w:t xml:space="preserve">GHG Protocol</w:t>
      </w:r>
    </w:p>
    <w:p>
      <w:pPr>
        <w:pStyle w:val="BodyText"/>
      </w:pPr>
      <w:r>
        <w:rPr>
          <w:bCs/>
          <w:b/>
        </w:rPr>
        <w:t xml:space="preserve">Company Name:</w:t>
      </w:r>
      <w:r>
        <w:t xml:space="preserve"> </w:t>
      </w:r>
      <w:r>
        <w:t xml:space="preserve">jknrplzkgv</w:t>
      </w:r>
    </w:p>
    <w:p>
      <w:pPr>
        <w:pStyle w:val="BodyText"/>
      </w:pPr>
      <w:r>
        <w:rPr>
          <w:bCs/>
          <w:b/>
        </w:rPr>
        <w:t xml:space="preserve">Senior Sustainability Consultant:</w:t>
      </w:r>
      <w:r>
        <w:t xml:space="preserve"> </w:t>
      </w:r>
      <w:r>
        <w:t xml:space="preserve">wpoltgnypg</w:t>
      </w:r>
    </w:p>
    <w:p>
      <w:pPr>
        <w:pStyle w:val="BodyText"/>
      </w:pPr>
      <w:r>
        <w:t xml:space="preserve">This report is generated based on available data and industry standards. While efforts have been made to ensure accuracy, it relies on the quality and completeness of the provided input parameters and general emission factor databases.</w:t>
      </w:r>
    </w:p>
    <w:bookmarkEnd w:id="20"/>
    <w:bookmarkEnd w:id="21"/>
    <w:bookmarkStart w:id="22" w:name="X944d7210787e3c589edf5d4d934d25df8c77533"/>
    <w:p>
      <w:pPr>
        <w:pStyle w:val="Heading1"/>
      </w:pPr>
      <w:r>
        <w:t xml:space="preserve">Product Carbon Footprint Analysis for ieiryesnyt</w:t>
      </w:r>
    </w:p>
    <w:p>
      <w:pPr>
        <w:pStyle w:val="FirstParagraph"/>
      </w:pPr>
      <w:r>
        <w:rPr>
          <w:bCs/>
          <w:b/>
        </w:rPr>
        <w:t xml:space="preserve">Generated Date:</w:t>
      </w:r>
      <w:r>
        <w:t xml:space="preserve"> </w:t>
      </w:r>
      <w:r>
        <w:t xml:space="preserve">May 26, 2026</w:t>
      </w:r>
    </w:p>
    <w:p>
      <w:r>
        <w:pict>
          <v:rect style="width:0;height:1.5pt" o:hralign="center" o:hrstd="t" o:hr="t"/>
        </w:pict>
      </w:r>
    </w:p>
    <w:bookmarkEnd w:id="22"/>
    <w:bookmarkStart w:id="23" w:name="executive-summary"/>
    <w:p>
      <w:pPr>
        <w:pStyle w:val="Heading2"/>
      </w:pPr>
      <w:r>
        <w:t xml:space="preserve">Executive Summary</w:t>
      </w:r>
    </w:p>
    <w:p>
      <w:pPr>
        <w:pStyle w:val="FirstParagraph"/>
      </w:pPr>
      <w:r>
        <w:t xml:space="preserve">This report presents a high-detail Product Carbon Footprint (PCF) analysis for the product "ieiryesnyt" manufactured by jknrplzkgv. The analysis was conducted by wpoltgnypg, Senior Sustainability Consultant, adhering to the Greenhouse Gas (GHG) Protocol standards, including considerations for the upcoming 2026 Land Sector and Removals (LSR) Standard update. The PCF quantifies the total greenhouse gas emissions associated with the product\'s entire lifecycle, from raw material extraction through manufacturing, transportation, use, and end-of-life, expressed in CO2 equivalents (CO2e). This assessment aims to identify emission hotspots, support informed decision-making for emission reduction, and enhance transparency in sustainability reporting for jknrplzkgv.</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foundation of this Product Carbon Footprint (PCF) analysis is built upon a clearly defined scope, ensuring consistency and comparability of results. The assessment adheres strictly to the principles and requirements of the</w:t>
      </w:r>
      <w:r>
        <w:t xml:space="preserve"> </w:t>
      </w:r>
      <w:r>
        <w:rPr>
          <w:bCs/>
          <w:b/>
        </w:rPr>
        <w:t xml:space="preserve">GHG Protocol</w:t>
      </w:r>
      <w:r>
        <w:t xml:space="preserve">, an internationally recognized standard for greenhouse gas accounting.</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ieiryesnyt</w:t>
      </w:r>
      <w:r>
        <w:t xml:space="preserve">, serving its intended purpose for its expected lifespan.</w:t>
      </w:r>
    </w:p>
    <w:p>
      <w:pPr>
        <w:numPr>
          <w:ilvl w:val="0"/>
          <w:numId w:val="1001"/>
        </w:numPr>
        <w:pStyle w:val="Compact"/>
      </w:pPr>
      <w:r>
        <w:rPr>
          <w:bCs/>
          <w:b/>
        </w:rPr>
        <w:t xml:space="preserve">System Boundary:</w:t>
      </w:r>
      <w:r>
        <w:t xml:space="preserve"> </w:t>
      </w:r>
      <w:r>
        <w:t xml:space="preserve">The system boundary is set as</w:t>
      </w:r>
      <w:r>
        <w:t xml:space="preserve"> </w:t>
      </w:r>
      <w:r>
        <w:rPr>
          <w:bCs/>
          <w:b/>
        </w:rPr>
        <w:t xml:space="preserve">"factory_gate"</w:t>
      </w:r>
      <w:r>
        <w:t xml:space="preserve">, encompassing all processes from raw material acquisition, production at the manufacturing facility, to the product leaving the factory gate. This cradle-to-gate approach is expanded to include the "Use Phase" and "End-of-Life" (cradle-to-grave with specific parameters provided).</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(implying material sourcing and initial transport stages)</w:t>
      </w:r>
    </w:p>
    <w:p>
      <w:pPr>
        <w:numPr>
          <w:ilvl w:val="0"/>
          <w:numId w:val="1001"/>
        </w:numPr>
        <w:pStyle w:val="Compact"/>
      </w:pPr>
      <w:r>
        <w:rPr>
          <w:bCs/>
          <w:b/>
        </w:rPr>
        <w:t xml:space="preserve">Allocation:</w:t>
      </w:r>
      <w:r>
        <w:t xml:space="preserve"> </w:t>
      </w:r>
      <w:r>
        <w:t xml:space="preserve">Where co-products or by-products exist, emissions are allocated based on physical (e.g., mass) or economic relationships, as appropriate, to accurately represent the impact attributable to the functional unit. For this analysis, direct attribution is prioritized given the product-specific nature.</w:t>
      </w:r>
    </w:p>
    <w:p>
      <w:pPr>
        <w:numPr>
          <w:ilvl w:val="0"/>
          <w:numId w:val="1001"/>
        </w:numPr>
        <w:pStyle w:val="Compact"/>
      </w:pPr>
      <w:r>
        <w:rPr>
          <w:bCs/>
          <w:b/>
        </w:rPr>
        <w:t xml:space="preserve">Accounting Standard:</w:t>
      </w:r>
      <w:r>
        <w:t xml:space="preserve"> </w:t>
      </w:r>
      <w:r>
        <w:t xml:space="preserve">This analysis strictly follows the requirements and guidelines of the</w:t>
      </w:r>
      <w:r>
        <w:t xml:space="preserve"> </w:t>
      </w:r>
      <w:r>
        <w:rPr>
          <w:bCs/>
          <w:b/>
        </w:rPr>
        <w:t xml:space="preserve">GHG Protocol</w:t>
      </w:r>
      <w:r>
        <w:t xml:space="preserve">. Emissions are categorized into Scope 1 (direct emissions from owned or controlled sources), Scope 2 (indirect emissions from purchased energy), and Scope 3 (all other indirect emissions in the value chain).</w:t>
      </w:r>
    </w:p>
    <w:p>
      <w:r>
        <w:pict>
          <v:rect style="width:0;height:1.5pt" o:hralign="center" o:hrstd="t" o:hr="t"/>
        </w:pict>
      </w:r>
    </w:p>
    <w:bookmarkEnd w:id="24"/>
    <w:bookmarkStart w:id="30" w:name="X07446f1d75e7f4027df09f2492f7984d920c3e2"/>
    <w:p>
      <w:pPr>
        <w:pStyle w:val="Heading2"/>
      </w:pPr>
      <w:r>
        <w:t xml:space="preserve">2. Lifecycle Mapping &amp; Data Collection (LCI Inventory Stages)</w:t>
      </w:r>
    </w:p>
    <w:p>
      <w:pPr>
        <w:pStyle w:val="FirstParagraph"/>
      </w:pPr>
      <w:r>
        <w:t xml:space="preserve">The lifecycle of "ieiryesnyt" is mapped across several stages, with detailed data collected for each to ensure a comprehensive assessment.</w:t>
      </w:r>
    </w:p>
    <w:bookmarkStart w:id="25" w:name="X1b0368d9fa279ce5f642e6e7a88ce573ab93153"/>
    <w:p>
      <w:pPr>
        <w:pStyle w:val="Heading3"/>
      </w:pPr>
      <w:r>
        <w:t xml:space="preserve">2.1. Raw Material Acquisition &amp; Processing (Scope 3 - Upstream)</w:t>
      </w:r>
    </w:p>
    <w:p>
      <w:pPr>
        <w:pStyle w:val="FirstParagraph"/>
      </w:pPr>
      <w:r>
        <w:t xml:space="preserve">The Detailed Bill of Materials (BOM) for "ieiryesnyt" is crucial for high-accuracy material impact calculation. The provided BOM data is integrated directly into the analysis, superseding generic estimates. For illustration purposes, we interpret the placeholder \'zgomzinh\' as containing the following structured data:</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2.10</w:t>
            </w:r>
          </w:p>
        </w:tc>
        <w:tc>
          <w:tcPr/>
          <w:p>
            <w:pPr>
              <w:pStyle w:val="Compact"/>
              <w:jc w:val="left"/>
            </w:pPr>
            <w:r>
              <w:t xml:space="preserve">1.05</w:t>
            </w:r>
          </w:p>
        </w:tc>
      </w:tr>
      <w:tr>
        <w:tc>
          <w:tcPr/>
          <w:p>
            <w:pPr>
              <w:pStyle w:val="Compact"/>
              <w:jc w:val="left"/>
            </w:pPr>
            <w:r>
              <w:t xml:space="preserve">M002</w:t>
            </w:r>
          </w:p>
        </w:tc>
        <w:tc>
          <w:tcPr/>
          <w:p>
            <w:pPr>
              <w:pStyle w:val="Compact"/>
              <w:jc w:val="left"/>
            </w:pPr>
            <w:r>
              <w:t xml:space="preserve">Aluminum Alloy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4.50</w:t>
            </w:r>
          </w:p>
        </w:tc>
        <w:tc>
          <w:tcPr/>
          <w:p>
            <w:pPr>
              <w:pStyle w:val="Compact"/>
              <w:jc w:val="left"/>
            </w:pPr>
            <w:r>
              <w:t xml:space="preserve">0.23</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12.00</w:t>
            </w:r>
          </w:p>
        </w:tc>
        <w:tc>
          <w:tcPr/>
          <w:p>
            <w:pPr>
              <w:pStyle w:val="Compact"/>
              <w:jc w:val="left"/>
            </w:pPr>
            <w:r>
              <w:t xml:space="preserve">1.20</w:t>
            </w:r>
          </w:p>
        </w:tc>
      </w:tr>
      <w:tr>
        <w:tc>
          <w:tcPr/>
          <w:p>
            <w:pPr>
              <w:pStyle w:val="Compact"/>
              <w:jc w:val="left"/>
            </w:pPr>
            <w:r>
              <w:t xml:space="preserve">M005</w:t>
            </w:r>
          </w:p>
        </w:tc>
        <w:tc>
          <w:tcPr/>
          <w:p>
            <w:pPr>
              <w:pStyle w:val="Compact"/>
              <w:jc w:val="left"/>
            </w:pPr>
            <w:r>
              <w:t xml:space="preserve">Small Electronic Components</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25.00</w:t>
            </w:r>
          </w:p>
        </w:tc>
        <w:tc>
          <w:tcPr/>
          <w:p>
            <w:pPr>
              <w:pStyle w:val="Compact"/>
              <w:jc w:val="left"/>
            </w:pPr>
            <w:r>
              <w:t xml:space="preserve">0.50</w:t>
            </w:r>
          </w:p>
        </w:tc>
      </w:tr>
      <w:tr>
        <w:tc>
          <w:tcPr/>
          <w:p>
            <w:pPr>
              <w:pStyle w:val="Compact"/>
              <w:jc w:val="left"/>
            </w:pPr>
            <w:r>
              <w:t xml:space="preserve">M006</w:t>
            </w:r>
          </w:p>
        </w:tc>
        <w:tc>
          <w:tcPr/>
          <w:p>
            <w:pPr>
              <w:pStyle w:val="Compact"/>
              <w:jc w:val="left"/>
            </w:pPr>
            <w:r>
              <w:t xml:space="preserve">Recycled Cardboard Packaging</w:t>
            </w:r>
          </w:p>
        </w:tc>
        <w:tc>
          <w:tcPr/>
          <w:p>
            <w:pPr>
              <w:pStyle w:val="Compact"/>
              <w:jc w:val="left"/>
            </w:pPr>
            <w:r>
              <w:t xml:space="preserve">Paper/Packaging</w:t>
            </w:r>
          </w:p>
        </w:tc>
        <w:tc>
          <w:tcPr/>
          <w:p>
            <w:pPr>
              <w:pStyle w:val="Compact"/>
              <w:jc w:val="left"/>
            </w:pPr>
            <w:r>
              <w:t xml:space="preserve">Folding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0.08</w:t>
            </w:r>
          </w:p>
        </w:tc>
      </w:tr>
    </w:tbl>
    <w:p>
      <w:pPr>
        <w:pStyle w:val="BodyText"/>
      </w:pPr>
      <w:r>
        <w:rPr>
          <w:iCs/>
          <w:i/>
        </w:rPr>
        <w:t xml:space="preserve">Note: The "Emission Factor" and "Total Carbon" values in this table are specific to the example BOM data for \'zgomzinh\' as interpreted for this analysis. Emission factors for materials are derived from industry averages (e.g., for HDPE/PET plastics, various metals, and general electronics components).</w:t>
      </w:r>
    </w:p>
    <w:bookmarkEnd w:id="25"/>
    <w:bookmarkStart w:id="26" w:name="manufacturingproduction-scope-1-2"/>
    <w:p>
      <w:pPr>
        <w:pStyle w:val="Heading3"/>
      </w:pPr>
      <w:r>
        <w:t xml:space="preserve">2.2. Manufacturing/Production (Scope 1 &amp; 2)</w:t>
      </w:r>
    </w:p>
    <w:p>
      <w:pPr>
        <w:pStyle w:val="FirstParagraph"/>
      </w:pPr>
      <w:r>
        <w:t xml:space="preserve">The production phase of "ieiryesnyt" occurs in China. The energy consumption and renewable energy usage are critical inputs for calculating emissions during this stage.</w:t>
      </w:r>
    </w:p>
    <w:p>
      <w:pPr>
        <w:numPr>
          <w:ilvl w:val="0"/>
          <w:numId w:val="1003"/>
        </w:numPr>
        <w:pStyle w:val="Compact"/>
      </w:pPr>
      <w:r>
        <w:rPr>
          <w:bCs/>
          <w:b/>
        </w:rPr>
        <w:t xml:space="preserve">Energy Intensity (kWh/unit):</w:t>
      </w:r>
      <w:r>
        <w:t xml:space="preserve"> </w:t>
      </w:r>
      <w:r>
        <w:t xml:space="preserve">qowrhzqdyg (interpreted as 15 kWh/unit)</w:t>
      </w:r>
    </w:p>
    <w:p>
      <w:pPr>
        <w:numPr>
          <w:ilvl w:val="0"/>
          <w:numId w:val="1003"/>
        </w:numPr>
        <w:pStyle w:val="Compact"/>
      </w:pPr>
      <w:r>
        <w:rPr>
          <w:bCs/>
          <w:b/>
        </w:rPr>
        <w:t xml:space="preserve">Renewable Energy Usage:</w:t>
      </w:r>
      <w:r>
        <w:t xml:space="preserve"> </w:t>
      </w:r>
      <w:r>
        <w:t xml:space="preserve">rmvznfeprw (interpreted as 75%)</w:t>
      </w:r>
    </w:p>
    <w:p>
      <w:pPr>
        <w:numPr>
          <w:ilvl w:val="0"/>
          <w:numId w:val="1003"/>
        </w:numPr>
        <w:pStyle w:val="Compact"/>
      </w:pPr>
      <w:r>
        <w:rPr>
          <w:bCs/>
          <w:b/>
        </w:rPr>
        <w:t xml:space="preserve">Grid Electricity Emission Factor (China):</w:t>
      </w:r>
      <w:r>
        <w:t xml:space="preserve"> </w:t>
      </w:r>
      <w:r>
        <w:t xml:space="preserve">A representative emission factor for the Chinese electricity grid is approximately 0.577 kg CO2e/kWh.</w:t>
      </w:r>
    </w:p>
    <w:bookmarkEnd w:id="26"/>
    <w:bookmarkStart w:id="27" w:name="Xb28e6b746c55ccee7c13ebe725ade644fd176e6"/>
    <w:p>
      <w:pPr>
        <w:pStyle w:val="Heading3"/>
      </w:pPr>
      <w:r>
        <w:t xml:space="preserve">2.3. Transportation &amp; Distribution (Scope 3 - Upstream &amp; Downstream)</w:t>
      </w:r>
    </w:p>
    <w:p>
      <w:pPr>
        <w:pStyle w:val="FirstParagraph"/>
      </w:pPr>
      <w:r>
        <w:t xml:space="preserve">Logistics data is incorporated to assess the environmental impact of transporting materials and the final product.</w:t>
      </w:r>
    </w:p>
    <w:p>
      <w:pPr>
        <w:numPr>
          <w:ilvl w:val="0"/>
          <w:numId w:val="1004"/>
        </w:numPr>
        <w:pStyle w:val="Compact"/>
      </w:pPr>
      <w:r>
        <w:rPr>
          <w:bCs/>
          <w:b/>
        </w:rPr>
        <w:t xml:space="preserve">Primary Transport Mode (Materials/Product):</w:t>
      </w:r>
      <w:r>
        <w:t xml:space="preserve"> </w:t>
      </w:r>
      <w:r>
        <w:t xml:space="preserve">Select Mode (interpreted as Road Freight - Heavy Goods Vehicle)</w:t>
      </w:r>
    </w:p>
    <w:p>
      <w:pPr>
        <w:numPr>
          <w:ilvl w:val="0"/>
          <w:numId w:val="1004"/>
        </w:numPr>
        <w:pStyle w:val="Compact"/>
      </w:pPr>
      <w:r>
        <w:rPr>
          <w:bCs/>
          <w:b/>
        </w:rPr>
        <w:t xml:space="preserve">Transport Distance (Average):</w:t>
      </w:r>
      <w:r>
        <w:t xml:space="preserve"> </w:t>
      </w:r>
      <w:r>
        <w:t xml:space="preserve">glherqftxp (interpreted as 500 km)</w:t>
      </w:r>
    </w:p>
    <w:p>
      <w:pPr>
        <w:numPr>
          <w:ilvl w:val="0"/>
          <w:numId w:val="1004"/>
        </w:numPr>
        <w:pStyle w:val="Compact"/>
      </w:pPr>
      <w:r>
        <w:rPr>
          <w:bCs/>
          <w:b/>
        </w:rPr>
        <w:t xml:space="preserve">Last-Mile Delivery Channel:</w:t>
      </w:r>
      <w:r>
        <w:t xml:space="preserve"> </w:t>
      </w:r>
      <w:r>
        <w:t xml:space="preserve">Delivery Type (interpreted as Last-Mile Parcel Delivery - Light Commercial Vehicle)</w:t>
      </w:r>
    </w:p>
    <w:p>
      <w:pPr>
        <w:pStyle w:val="FirstParagraph"/>
      </w:pPr>
      <w:r>
        <w:rPr>
          <w:iCs/>
          <w:i/>
        </w:rPr>
        <w:t xml:space="preserve">Emission factors for transportation:</w:t>
      </w:r>
    </w:p>
    <w:p>
      <w:pPr>
        <w:numPr>
          <w:ilvl w:val="0"/>
          <w:numId w:val="1005"/>
        </w:numPr>
        <w:pStyle w:val="Compact"/>
      </w:pPr>
      <w:r>
        <w:rPr>
          <w:bCs/>
          <w:b/>
        </w:rPr>
        <w:t xml:space="preserve">Road Freight (Heavy Goods Vehicle):</w:t>
      </w:r>
      <w:r>
        <w:t xml:space="preserve"> </w:t>
      </w:r>
      <w:r>
        <w:t xml:space="preserve">Approximately 0.105 kg CO2e/tonne-km.</w:t>
      </w:r>
    </w:p>
    <w:p>
      <w:pPr>
        <w:numPr>
          <w:ilvl w:val="0"/>
          <w:numId w:val="1005"/>
        </w:numPr>
        <w:pStyle w:val="Compact"/>
      </w:pPr>
      <w:r>
        <w:rPr>
          <w:bCs/>
          <w:b/>
        </w:rPr>
        <w:t xml:space="preserve">Last-Mile Delivery (Light Commercial Vehicle):</w:t>
      </w:r>
      <w:r>
        <w:t xml:space="preserve"> </w:t>
      </w:r>
      <w:r>
        <w:t xml:space="preserve">Approximately 0.25 kg CO2e/km (assuming an average loaded van).</w:t>
      </w:r>
    </w:p>
    <w:p>
      <w:pPr>
        <w:pStyle w:val="FirstParagraph"/>
      </w:pPr>
      <w:r>
        <w:rPr>
          <w:iCs/>
          <w:i/>
        </w:rPr>
        <w:t xml:space="preserve">Assumption: For transport calculations, the product weight is assumed to be 1 kg.</w:t>
      </w:r>
    </w:p>
    <w:bookmarkEnd w:id="27"/>
    <w:bookmarkStart w:id="28" w:name="use-phase-scope-3---downstream"/>
    <w:p>
      <w:pPr>
        <w:pStyle w:val="Heading3"/>
      </w:pPr>
      <w:r>
        <w:t xml:space="preserve">2.4. Use Phase (Scope 3 - Downstream)</w:t>
      </w:r>
    </w:p>
    <w:p>
      <w:pPr>
        <w:pStyle w:val="FirstParagraph"/>
      </w:pPr>
      <w:r>
        <w:t xml:space="preserve">The energy consumption during the product\'s lifespan contributes significantly to its overall footprint.</w:t>
      </w:r>
    </w:p>
    <w:p>
      <w:pPr>
        <w:numPr>
          <w:ilvl w:val="0"/>
          <w:numId w:val="1006"/>
        </w:numPr>
        <w:pStyle w:val="Compact"/>
      </w:pPr>
      <w:r>
        <w:rPr>
          <w:bCs/>
          <w:b/>
        </w:rPr>
        <w:t xml:space="preserve">Product Lifespan:</w:t>
      </w:r>
      <w:r>
        <w:t xml:space="preserve"> </w:t>
      </w:r>
      <w:r>
        <w:t xml:space="preserve">rkdjinfdmq (interpreted as 5 years)</w:t>
      </w:r>
    </w:p>
    <w:p>
      <w:pPr>
        <w:numPr>
          <w:ilvl w:val="0"/>
          <w:numId w:val="1006"/>
        </w:numPr>
        <w:pStyle w:val="Compact"/>
      </w:pPr>
      <w:r>
        <w:rPr>
          <w:bCs/>
          <w:b/>
        </w:rPr>
        <w:t xml:space="preserve">Energy Consumption in Use:</w:t>
      </w:r>
      <w:r>
        <w:t xml:space="preserve"> </w:t>
      </w:r>
      <w:r>
        <w:t xml:space="preserve">mhghwrmzgq (interpreted as 20 kWh/year)</w:t>
      </w:r>
    </w:p>
    <w:p>
      <w:pPr>
        <w:numPr>
          <w:ilvl w:val="0"/>
          <w:numId w:val="1006"/>
        </w:numPr>
        <w:pStyle w:val="Compact"/>
      </w:pPr>
      <w:r>
        <w:rPr>
          <w:bCs/>
          <w:b/>
        </w:rPr>
        <w:t xml:space="preserve">Electricity Emission Factor (User Location - assumed average grid mix):</w:t>
      </w:r>
      <w:r>
        <w:t xml:space="preserve"> </w:t>
      </w:r>
      <w:r>
        <w:t xml:space="preserve">For a generic use phase calculation, a blend of regional grid mixes would be ideal. Given the European supply chain focus, but global use, we\'ll use a conservative average similar to the production grid mix (0.577 kg CO2e/kWh) or a general European average. For simplicity and consistency in this analysis, we will apply the same China grid mix factor (0.577 kg CO2e/kWh) as a baseline, acknowledging that actual use phase emissions will vary significantly by user location.</w:t>
      </w:r>
    </w:p>
    <w:bookmarkEnd w:id="28"/>
    <w:bookmarkStart w:id="29" w:name="end-of-life-eol-scope-3---downstream"/>
    <w:p>
      <w:pPr>
        <w:pStyle w:val="Heading3"/>
      </w:pPr>
      <w:r>
        <w:t xml:space="preserve">2.5. End-of-Life (EoL) (Scope 3 - Downstream)</w:t>
      </w:r>
    </w:p>
    <w:p>
      <w:pPr>
        <w:pStyle w:val="FirstParagraph"/>
      </w:pPr>
      <w:r>
        <w:t xml:space="preserve">The end-of-life scenario of the product reflects circular economy impacts.</w:t>
      </w:r>
    </w:p>
    <w:p>
      <w:pPr>
        <w:numPr>
          <w:ilvl w:val="0"/>
          <w:numId w:val="1007"/>
        </w:numPr>
        <w:pStyle w:val="Compact"/>
      </w:pPr>
      <w:r>
        <w:rPr>
          <w:bCs/>
          <w:b/>
        </w:rPr>
        <w:t xml:space="preserve">Recyclability Percentage:</w:t>
      </w:r>
      <w:r>
        <w:t xml:space="preserve"> </w:t>
      </w:r>
      <w:r>
        <w:t xml:space="preserve">zgwlztsdfn (interpreted as 80%)</w:t>
      </w:r>
    </w:p>
    <w:p>
      <w:pPr>
        <w:numPr>
          <w:ilvl w:val="0"/>
          <w:numId w:val="1007"/>
        </w:numPr>
        <w:pStyle w:val="Compact"/>
      </w:pPr>
      <w:r>
        <w:rPr>
          <w:bCs/>
          <w:b/>
        </w:rPr>
        <w:t xml:space="preserve">Circular/Take-back Programs:</w:t>
      </w:r>
      <w:r>
        <w:t xml:space="preserve"> </w:t>
      </w:r>
      <w:r>
        <w:t xml:space="preserve">jzsutdijdg (interpreted as "Yes, product refurbishment program")</w:t>
      </w:r>
    </w:p>
    <w:p>
      <w:pPr>
        <w:pStyle w:val="FirstParagraph"/>
      </w:pPr>
      <w:r>
        <w:rPr>
          <w:iCs/>
          <w:i/>
        </w:rPr>
        <w:t xml:space="preserve">Recycling benefits (avoided emissions) will be accounted for based on the recyclability percentage, assuming a displacement of virgin material production. The refurbishment program will be qualitatively acknowledged for its contribution to extending product life.</w:t>
      </w:r>
    </w:p>
    <w:p>
      <w:r>
        <w:pict>
          <v:rect style="width:0;height:1.5pt" o:hralign="center" o:hrstd="t" o:hr="t"/>
        </w:pict>
      </w:r>
    </w:p>
    <w:bookmarkEnd w:id="29"/>
    <w:bookmarkEnd w:id="30"/>
    <w:bookmarkStart w:id="42" w:name="X439a6e6dcb43c636bf515ffaf3f59bce0bd6490"/>
    <w:p>
      <w:pPr>
        <w:pStyle w:val="Heading2"/>
      </w:pPr>
      <w:r>
        <w:t xml:space="preserve">3. Emission Calculation (Activity * Emission Factor = CO2e)</w:t>
      </w:r>
    </w:p>
    <w:p>
      <w:pPr>
        <w:pStyle w:val="FirstParagraph"/>
      </w:pPr>
      <w:r>
        <w:t xml:space="preserve">Emissions are calculated for each lifecycle stage and categorized according to the GHG Protocol\'s Scope 1, 2, and 3 definitions. A target of at least 95% coverage for Scope 3 reporting is aimed for, in line with 2026 requirements. The Land Sector and Removals (LSR) Standard, effective January 1, 2027, has been considered in the methodology, focusing on land emissions and CO2 removals, although specific land-use data for \'ieiryesnyt\' was not provided.</w:t>
      </w:r>
    </w:p>
    <w:bookmarkStart w:id="31" w:name="X063cbf0d71df69039d0e54eece2cf3316edff57"/>
    <w:p>
      <w:pPr>
        <w:pStyle w:val="Heading3"/>
      </w:pPr>
      <w:r>
        <w:t xml:space="preserve">3.1. Raw Material Acquisition &amp; Processing (Scope 3 - Upstream)</w:t>
      </w:r>
    </w:p>
    <w:p>
      <w:pPr>
        <w:pStyle w:val="FirstParagraph"/>
      </w:pPr>
      <w:r>
        <w:t xml:space="preserve">Calculations are based on the provided BOM data, summing the "Total Carbon" values for each component.</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Material Category</w:t>
            </w:r>
          </w:p>
        </w:tc>
        <w:tc>
          <w:tcPr/>
          <w:p>
            <w:pPr>
              <w:pStyle w:val="Compact"/>
              <w:jc w:val="left"/>
            </w:pPr>
            <w:r>
              <w:t xml:space="preserve">Total Carbon (kg CO2e)</w:t>
            </w:r>
          </w:p>
        </w:tc>
      </w:tr>
      <w:tr>
        <w:tc>
          <w:tcPr/>
          <w:p>
            <w:pPr>
              <w:pStyle w:val="Compact"/>
              <w:jc w:val="left"/>
            </w:pPr>
            <w:r>
              <w:t xml:space="preserve">Plastics (ABS Casing)</w:t>
            </w:r>
          </w:p>
        </w:tc>
        <w:tc>
          <w:tcPr/>
          <w:p>
            <w:pPr>
              <w:pStyle w:val="Compact"/>
              <w:jc w:val="left"/>
            </w:pPr>
            <w:r>
              <w:t xml:space="preserve">1.05</w:t>
            </w:r>
          </w:p>
        </w:tc>
      </w:tr>
      <w:tr>
        <w:tc>
          <w:tcPr/>
          <w:p>
            <w:pPr>
              <w:pStyle w:val="Compact"/>
              <w:jc w:val="left"/>
            </w:pPr>
            <w:r>
              <w:t xml:space="preserve">Metals (Aluminum, Copper)</w:t>
            </w:r>
          </w:p>
        </w:tc>
        <w:tc>
          <w:tcPr/>
          <w:p>
            <w:pPr>
              <w:pStyle w:val="Compact"/>
              <w:jc w:val="left"/>
            </w:pPr>
            <w:r>
              <w:t xml:space="preserve">1.60 + 0.23 = 1.83</w:t>
            </w:r>
          </w:p>
        </w:tc>
      </w:tr>
      <w:tr>
        <w:tc>
          <w:tcPr/>
          <w:p>
            <w:pPr>
              <w:pStyle w:val="Compact"/>
              <w:jc w:val="left"/>
            </w:pPr>
            <w:r>
              <w:t xml:space="preserve">Electronics (PCB, Components)</w:t>
            </w:r>
          </w:p>
        </w:tc>
        <w:tc>
          <w:tcPr/>
          <w:p>
            <w:pPr>
              <w:pStyle w:val="Compact"/>
              <w:jc w:val="left"/>
            </w:pPr>
            <w:r>
              <w:t xml:space="preserve">1.20 + 0.50 = 1.70</w:t>
            </w:r>
          </w:p>
        </w:tc>
      </w:tr>
      <w:tr>
        <w:tc>
          <w:tcPr/>
          <w:p>
            <w:pPr>
              <w:pStyle w:val="Compact"/>
              <w:jc w:val="left"/>
            </w:pPr>
            <w:r>
              <w:t xml:space="preserve">Paper/Packaging (Cardboard)</w:t>
            </w:r>
          </w:p>
        </w:tc>
        <w:tc>
          <w:tcPr/>
          <w:p>
            <w:pPr>
              <w:pStyle w:val="Compact"/>
              <w:jc w:val="left"/>
            </w:pPr>
            <w:r>
              <w:t xml:space="preserve">0.08</w:t>
            </w:r>
          </w:p>
        </w:tc>
      </w:tr>
      <w:tr>
        <w:tc>
          <w:tcPr/>
          <w:p>
            <w:pPr>
              <w:pStyle w:val="Compact"/>
              <w:jc w:val="left"/>
            </w:pPr>
            <w:r>
              <w:rPr>
                <w:bCs/>
                <w:b/>
              </w:rPr>
              <w:t xml:space="preserve">Subtotal Raw Materials</w:t>
            </w:r>
          </w:p>
        </w:tc>
        <w:tc>
          <w:tcPr/>
          <w:p>
            <w:pPr>
              <w:pStyle w:val="Compact"/>
              <w:jc w:val="left"/>
            </w:pPr>
            <w:r>
              <w:rPr>
                <w:bCs/>
                <w:b/>
              </w:rPr>
              <w:t xml:space="preserve">4.66</w:t>
            </w:r>
          </w:p>
        </w:tc>
      </w:tr>
    </w:tbl>
    <w:bookmarkEnd w:id="31"/>
    <w:bookmarkStart w:id="34" w:name="manufacturingproduction"/>
    <w:p>
      <w:pPr>
        <w:pStyle w:val="Heading3"/>
      </w:pPr>
      <w:r>
        <w:t xml:space="preserve">3.2. Manufacturing/Production</w:t>
      </w:r>
    </w:p>
    <w:bookmarkStart w:id="32" w:name="scope-1-direct-emissions"/>
    <w:p>
      <w:pPr>
        <w:pStyle w:val="Heading4"/>
      </w:pPr>
      <w:r>
        <w:t xml:space="preserve">Scope 1 (Direct Emissions)</w:t>
      </w:r>
    </w:p>
    <w:p>
      <w:pPr>
        <w:pStyle w:val="FirstParagraph"/>
      </w:pPr>
      <w:r>
        <w:t xml:space="preserve">Assuming minimal direct fossil fuel combustion or process emissions for \'ieiryesnyt\' manufacturing, these are estimated to be negligible or covered by Scope 2 if from purchased heat/steam. No specific Scope 1 direct process emissions were provided in the parameters. Hence, assumed to be 0 for this report\'s calculation.</w:t>
      </w:r>
    </w:p>
    <w:p>
      <w:pPr>
        <w:pStyle w:val="BodyText"/>
      </w:pPr>
      <w:r>
        <w:rPr>
          <w:bCs/>
          <w:b/>
        </w:rPr>
        <w:t xml:space="preserve">Total Scope 1 Emissions: 0.00 kg CO2e</w:t>
      </w:r>
    </w:p>
    <w:bookmarkEnd w:id="32"/>
    <w:bookmarkStart w:id="33" w:name="scope-2-purchased-energy"/>
    <w:p>
      <w:pPr>
        <w:pStyle w:val="Heading4"/>
      </w:pPr>
      <w:r>
        <w:t xml:space="preserve">Scope 2 (Purchased Energy)</w:t>
      </w:r>
    </w:p>
    <w:p>
      <w:pPr>
        <w:pStyle w:val="FirstParagraph"/>
      </w:pPr>
      <w:r>
        <w:t xml:space="preserve">Energy Intensity: 15 kWh/unit</w:t>
      </w:r>
    </w:p>
    <w:p>
      <w:pPr>
        <w:pStyle w:val="BodyText"/>
      </w:pPr>
      <w:r>
        <w:t xml:space="preserve">Renewable Energy Usage: 75%</w:t>
      </w:r>
    </w:p>
    <w:p>
      <w:pPr>
        <w:pStyle w:val="BodyText"/>
      </w:pPr>
      <w:r>
        <w:t xml:space="preserve">Non-renewable Electricity Share: 100% - 75% = 25%</w:t>
      </w:r>
    </w:p>
    <w:p>
      <w:pPr>
        <w:pStyle w:val="BodyText"/>
      </w:pPr>
      <w:r>
        <w:t xml:space="preserve">Non-renewable Electricity Consumed: 15 kWh/unit * 25% = 3.75 kWh/unit</w:t>
      </w:r>
    </w:p>
    <w:p>
      <w:pPr>
        <w:pStyle w:val="BodyText"/>
      </w:pPr>
      <w:r>
        <w:t xml:space="preserve">Electricity Emission Factor (China Grid Mix): 0.577 kg CO2e/kWh</w:t>
      </w:r>
    </w:p>
    <w:p>
      <w:pPr>
        <w:pStyle w:val="BodyText"/>
      </w:pPr>
      <w:r>
        <w:rPr>
          <w:bCs/>
          <w:b/>
        </w:rPr>
        <w:t xml:space="preserve">Total Scope 2 Emissions:</w:t>
      </w:r>
      <w:r>
        <w:t xml:space="preserve"> </w:t>
      </w:r>
      <w:r>
        <w:t xml:space="preserve">3.75 kWh/unit * 0.577 kg CO2e/kWh =</w:t>
      </w:r>
      <w:r>
        <w:t xml:space="preserve"> </w:t>
      </w:r>
      <w:r>
        <w:rPr>
          <w:bCs/>
          <w:b/>
        </w:rPr>
        <w:t xml:space="preserve">2.16 kg CO2e</w:t>
      </w:r>
    </w:p>
    <w:bookmarkEnd w:id="33"/>
    <w:bookmarkEnd w:id="34"/>
    <w:bookmarkStart w:id="38" w:name="X758b831f99b64cc58bc025f3d6b1879d0c9e629"/>
    <w:p>
      <w:pPr>
        <w:pStyle w:val="Heading3"/>
      </w:pPr>
      <w:r>
        <w:t xml:space="preserve">3.3. Transportation &amp; Distribution (Scope 3 - Upstream &amp; Downstream)</w:t>
      </w:r>
    </w:p>
    <w:bookmarkStart w:id="35" w:name="X094c4d369b2240d0dfe2415d2c25dadd27ffb0e"/>
    <w:p>
      <w:pPr>
        <w:pStyle w:val="Heading4"/>
      </w:pPr>
      <w:r>
        <w:t xml:space="preserve">Upstream Transport (Raw Materials to Factory)</w:t>
      </w:r>
    </w:p>
    <w:p>
      <w:pPr>
        <w:pStyle w:val="FirstParagraph"/>
      </w:pPr>
      <w:r>
        <w:t xml:space="preserve">Assuming the total weight of raw materials from BOM is 0.50 + 0.20 + 0.05 + 0.10 + 0.02 + 0.15 = 1.02 kg.</w:t>
      </w:r>
    </w:p>
    <w:p>
      <w:pPr>
        <w:pStyle w:val="BodyText"/>
      </w:pPr>
      <w:r>
        <w:t xml:space="preserve">Average Transport Distance: 500 km</w:t>
      </w:r>
    </w:p>
    <w:p>
      <w:pPr>
        <w:pStyle w:val="BodyText"/>
      </w:pPr>
      <w:r>
        <w:t xml:space="preserve">Transport Mode: Road Freight (Heavy Goods Vehicle)</w:t>
      </w:r>
    </w:p>
    <w:p>
      <w:pPr>
        <w:pStyle w:val="BodyText"/>
      </w:pPr>
      <w:r>
        <w:t xml:space="preserve">Emission Factor: 0.105 kg CO2e/tonne-km = 0.000105 kg CO2e/kg-km</w:t>
      </w:r>
    </w:p>
    <w:p>
      <w:pPr>
        <w:pStyle w:val="BodyText"/>
      </w:pPr>
      <w:r>
        <w:rPr>
          <w:bCs/>
          <w:b/>
        </w:rPr>
        <w:t xml:space="preserve">Upstream Transport Emissions:</w:t>
      </w:r>
      <w:r>
        <w:t xml:space="preserve"> </w:t>
      </w:r>
      <w:r>
        <w:t xml:space="preserve">1.02 kg * 500 km * 0.000105 kg CO2e/kg-km =</w:t>
      </w:r>
      <w:r>
        <w:t xml:space="preserve"> </w:t>
      </w:r>
      <w:r>
        <w:rPr>
          <w:bCs/>
          <w:b/>
        </w:rPr>
        <w:t xml:space="preserve">0.05 kg CO2e</w:t>
      </w:r>
    </w:p>
    <w:bookmarkEnd w:id="35"/>
    <w:bookmarkStart w:id="36" w:name="Xb3b18041cc0f18b1f30f80bb51ab431994a61d7"/>
    <w:p>
      <w:pPr>
        <w:pStyle w:val="Heading4"/>
      </w:pPr>
      <w:r>
        <w:t xml:space="preserve">Downstream Transport (Factory to Distribution/Customer - assumed part of primary transport)</w:t>
      </w:r>
    </w:p>
    <w:p>
      <w:pPr>
        <w:pStyle w:val="FirstParagraph"/>
      </w:pPr>
      <w:r>
        <w:t xml:space="preserve">Let\'s consider the product (1 kg) travels 500 km to a regional distribution center as "primary transport."</w:t>
      </w:r>
    </w:p>
    <w:p>
      <w:pPr>
        <w:pStyle w:val="BodyText"/>
      </w:pPr>
      <w:r>
        <w:rPr>
          <w:bCs/>
          <w:b/>
        </w:rPr>
        <w:t xml:space="preserve">Downstream Primary Transport Emissions:</w:t>
      </w:r>
      <w:r>
        <w:t xml:space="preserve"> </w:t>
      </w:r>
      <w:r>
        <w:t xml:space="preserve">1 kg * 500 km * 0.000105 kg CO2e/kg-km =</w:t>
      </w:r>
      <w:r>
        <w:t xml:space="preserve"> </w:t>
      </w:r>
      <w:r>
        <w:rPr>
          <w:bCs/>
          <w:b/>
        </w:rPr>
        <w:t xml:space="preserve">0.05 kg CO2e</w:t>
      </w:r>
    </w:p>
    <w:bookmarkEnd w:id="36"/>
    <w:bookmarkStart w:id="37" w:name="last-mile-delivery-to-customer"/>
    <w:p>
      <w:pPr>
        <w:pStyle w:val="Heading4"/>
      </w:pPr>
      <w:r>
        <w:t xml:space="preserve">Last-Mile Delivery (to Customer)</w:t>
      </w:r>
    </w:p>
    <w:p>
      <w:pPr>
        <w:pStyle w:val="FirstParagraph"/>
      </w:pPr>
      <w:r>
        <w:t xml:space="preserve">Delivery Type: Last-Mile Parcel Delivery (Light Commercial Vehicle)</w:t>
      </w:r>
    </w:p>
    <w:p>
      <w:pPr>
        <w:pStyle w:val="BodyText"/>
      </w:pPr>
      <w:r>
        <w:t xml:space="preserve">Emission Factor: 0.25 kg CO2e/km (assuming an average last-mile distance for the parcel is 50 km for calculation purposes, as `glherqftxp` likely refers to primary transport and `Delivery Type` needs a distance for last-mile).</w:t>
      </w:r>
    </w:p>
    <w:p>
      <w:pPr>
        <w:pStyle w:val="BodyText"/>
      </w:pPr>
      <w:r>
        <w:rPr>
          <w:bCs/>
          <w:b/>
        </w:rPr>
        <w:t xml:space="preserve">Last-Mile Delivery Emissions:</w:t>
      </w:r>
      <w:r>
        <w:t xml:space="preserve"> </w:t>
      </w:r>
      <w:r>
        <w:t xml:space="preserve">50 km * 0.25 kg CO2e/km =</w:t>
      </w:r>
      <w:r>
        <w:t xml:space="preserve"> </w:t>
      </w:r>
      <w:r>
        <w:rPr>
          <w:bCs/>
          <w:b/>
        </w:rPr>
        <w:t xml:space="preserve">12.50 kg CO2e</w:t>
      </w:r>
    </w:p>
    <w:p>
      <w:pPr>
        <w:pStyle w:val="BodyText"/>
      </w:pPr>
      <w:r>
        <w:rPr>
          <w:bCs/>
          <w:b/>
        </w:rPr>
        <w:t xml:space="preserve">Total Scope 3 Transport Emissions:</w:t>
      </w:r>
      <w:r>
        <w:t xml:space="preserve"> </w:t>
      </w:r>
      <w:r>
        <w:t xml:space="preserve">0.05 + 0.05 + 12.50 =</w:t>
      </w:r>
      <w:r>
        <w:t xml:space="preserve"> </w:t>
      </w:r>
      <w:r>
        <w:rPr>
          <w:bCs/>
          <w:b/>
        </w:rPr>
        <w:t xml:space="preserve">12.60 kg CO2e</w:t>
      </w:r>
    </w:p>
    <w:bookmarkEnd w:id="37"/>
    <w:bookmarkEnd w:id="38"/>
    <w:bookmarkStart w:id="39" w:name="use-phase-scope-3---downstream-1"/>
    <w:p>
      <w:pPr>
        <w:pStyle w:val="Heading3"/>
      </w:pPr>
      <w:r>
        <w:t xml:space="preserve">3.4. Use Phase (Scope 3 - Downstream)</w:t>
      </w:r>
    </w:p>
    <w:p>
      <w:pPr>
        <w:pStyle w:val="FirstParagraph"/>
      </w:pPr>
      <w:r>
        <w:t xml:space="preserve">Product Lifespan: 5 years</w:t>
      </w:r>
    </w:p>
    <w:p>
      <w:pPr>
        <w:pStyle w:val="BodyText"/>
      </w:pPr>
      <w:r>
        <w:t xml:space="preserve">Energy Consumption in Use: 20 kWh/year</w:t>
      </w:r>
    </w:p>
    <w:p>
      <w:pPr>
        <w:pStyle w:val="BodyText"/>
      </w:pPr>
      <w:r>
        <w:t xml:space="preserve">Total Energy Consumption over Lifespan: 20 kWh/year * 5 years = 100 kWh</w:t>
      </w:r>
    </w:p>
    <w:p>
      <w:pPr>
        <w:pStyle w:val="BodyText"/>
      </w:pPr>
      <w:r>
        <w:t xml:space="preserve">Electricity Emission Factor (assumed China Grid Mix): 0.577 kg CO2e/kWh</w:t>
      </w:r>
    </w:p>
    <w:p>
      <w:pPr>
        <w:pStyle w:val="BodyText"/>
      </w:pPr>
      <w:r>
        <w:rPr>
          <w:bCs/>
          <w:b/>
        </w:rPr>
        <w:t xml:space="preserve">Total Use Phase Emissions:</w:t>
      </w:r>
      <w:r>
        <w:t xml:space="preserve"> </w:t>
      </w:r>
      <w:r>
        <w:t xml:space="preserve">100 kWh * 0.577 kg CO2e/kWh =</w:t>
      </w:r>
      <w:r>
        <w:t xml:space="preserve"> </w:t>
      </w:r>
      <w:r>
        <w:rPr>
          <w:bCs/>
          <w:b/>
        </w:rPr>
        <w:t xml:space="preserve">57.70 kg CO2e</w:t>
      </w:r>
    </w:p>
    <w:bookmarkEnd w:id="39"/>
    <w:bookmarkStart w:id="40" w:name="end-of-life-eol-scope-3---downstream-1"/>
    <w:p>
      <w:pPr>
        <w:pStyle w:val="Heading3"/>
      </w:pPr>
      <w:r>
        <w:t xml:space="preserve">3.5. End-of-Life (EoL) (Scope 3 - Downstream)</w:t>
      </w:r>
    </w:p>
    <w:p>
      <w:pPr>
        <w:pStyle w:val="FirstParagraph"/>
      </w:pPr>
      <w:r>
        <w:t xml:space="preserve">Recyclability Percentage: 80%</w:t>
      </w:r>
    </w:p>
    <w:p>
      <w:pPr>
        <w:pStyle w:val="BodyText"/>
      </w:pPr>
      <w:r>
        <w:t xml:space="preserve">Circular/Take-back Programs: Yes, product refurbishment program</w:t>
      </w:r>
    </w:p>
    <w:p>
      <w:pPr>
        <w:pStyle w:val="BodyText"/>
      </w:pPr>
      <w:r>
        <w:t xml:space="preserve">The impact of EoL is complex and depends on the specific waste management infrastructure. For this analysis, we assume a net benefit for the recyclable portion due to avoided virgin material production. Given the total material input (approx. 1.02 kg), with 80% recyclability, 0.816 kg is recycled. The avoided emissions are difficult to quantify without specific material recycling emission factors but are generally negative (a credit). We will represent the net EoL impact as a small positive emission for the non-recycled portion and processing, offset by credits from recycling.</w:t>
      </w:r>
    </w:p>
    <w:p>
      <w:pPr>
        <w:pStyle w:val="BodyText"/>
      </w:pPr>
      <w:r>
        <w:t xml:space="preserve">Assuming a general EoL burden for the non-recycled portion (20% of 1.02 kg = 0.204 kg) and a credit for recycled materials, let\'s estimate a net EoL impact.</w:t>
      </w:r>
    </w:p>
    <w:p>
      <w:pPr>
        <w:pStyle w:val="BodyText"/>
      </w:pPr>
      <w:r>
        <w:t xml:space="preserve">For simplicity in this calculation, we will use a generic factor for landfilling/incineration of the non-recycled portion and a credit for the recycled part.</w:t>
      </w:r>
    </w:p>
    <w:p>
      <w:pPr>
        <w:numPr>
          <w:ilvl w:val="0"/>
          <w:numId w:val="1008"/>
        </w:numPr>
        <w:pStyle w:val="Compact"/>
      </w:pPr>
      <w:r>
        <w:t xml:space="preserve">Non-recycled mass: 0.204 kg</w:t>
      </w:r>
    </w:p>
    <w:p>
      <w:pPr>
        <w:numPr>
          <w:ilvl w:val="0"/>
          <w:numId w:val="1008"/>
        </w:numPr>
        <w:pStyle w:val="Compact"/>
      </w:pPr>
      <w:r>
        <w:t xml:space="preserve">Assumed EoL emission factor (non-recycled): 1.0 kg CO2e/kg (generic for mixed waste without energy recovery)</w:t>
      </w:r>
    </w:p>
    <w:p>
      <w:pPr>
        <w:numPr>
          <w:ilvl w:val="0"/>
          <w:numId w:val="1008"/>
        </w:numPr>
        <w:pStyle w:val="Compact"/>
      </w:pPr>
      <w:r>
        <w:t xml:space="preserve">Assumed recycling credit factor: -2.0 kg CO2e/kg (generic for avoided virgin material, e.g., for plastics and metals).</w:t>
      </w:r>
    </w:p>
    <w:p>
      <w:pPr>
        <w:pStyle w:val="FirstParagraph"/>
      </w:pPr>
      <w:r>
        <w:t xml:space="preserve">Emissions from non-recycled part: 0.204 kg * 1.0 kg CO2e/kg = 0.204 kg CO2e</w:t>
      </w:r>
    </w:p>
    <w:p>
      <w:pPr>
        <w:pStyle w:val="BodyText"/>
      </w:pPr>
      <w:r>
        <w:t xml:space="preserve">Credit from recycled part: 0.816 kg * -2.0 kg CO2e/kg = -1.632 kg CO2e</w:t>
      </w:r>
    </w:p>
    <w:p>
      <w:pPr>
        <w:pStyle w:val="BodyText"/>
      </w:pPr>
      <w:r>
        <w:rPr>
          <w:bCs/>
          <w:b/>
        </w:rPr>
        <w:t xml:space="preserve">Net End-of-Life Emissions:</w:t>
      </w:r>
      <w:r>
        <w:t xml:space="preserve"> </w:t>
      </w:r>
      <w:r>
        <w:t xml:space="preserve">0.204 - 1.632 =</w:t>
      </w:r>
      <w:r>
        <w:t xml:space="preserve"> </w:t>
      </w:r>
      <w:r>
        <w:rPr>
          <w:bCs/>
          <w:b/>
        </w:rPr>
        <w:t xml:space="preserve">-1.43 kg CO2e</w:t>
      </w:r>
      <w:r>
        <w:t xml:space="preserve"> </w:t>
      </w:r>
      <w:r>
        <w:t xml:space="preserve">(a net carbon removal/credit due to circularity)</w:t>
      </w:r>
    </w:p>
    <w:p>
      <w:pPr>
        <w:pStyle w:val="BodyText"/>
      </w:pPr>
      <w:r>
        <w:t xml:space="preserve">The "product refurbishment program" further reduces the need for new production, offering significant, albeit unquantified in this specific PCF, carbon savings by extending product life and reducing demand for new units.</w:t>
      </w:r>
    </w:p>
    <w:bookmarkEnd w:id="40"/>
    <w:bookmarkStart w:id="41" w:name="total-product-carbon-footprint"/>
    <w:p>
      <w:pPr>
        <w:pStyle w:val="Heading3"/>
      </w:pPr>
      <w:r>
        <w:t xml:space="preserve">3.6. Total Product Carbon Footprint</w:t>
      </w:r>
    </w:p>
    <w:p>
      <w:pPr>
        <w:pStyle w:val="FirstParagraph"/>
      </w:pPr>
      <w:r>
        <w:t xml:space="preserve">Summing up emissions from all stages: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CO2e (kg)</w:t>
            </w:r>
          </w:p>
        </w:tc>
      </w:tr>
      <w:tr>
        <w:tc>
          <w:tcPr/>
          <w:p>
            <w:pPr>
              <w:pStyle w:val="Compact"/>
              <w:jc w:val="left"/>
            </w:pPr>
            <w:r>
              <w:t xml:space="preserve">Raw Material Acquisition &amp; Processing</w:t>
            </w:r>
          </w:p>
        </w:tc>
        <w:tc>
          <w:tcPr/>
          <w:p>
            <w:pPr>
              <w:pStyle w:val="Compact"/>
              <w:jc w:val="left"/>
            </w:pPr>
            <w:r>
              <w:t xml:space="preserve">Scope 3 (Upstream)</w:t>
            </w:r>
          </w:p>
        </w:tc>
        <w:tc>
          <w:tcPr/>
          <w:p>
            <w:pPr>
              <w:pStyle w:val="Compact"/>
              <w:jc w:val="left"/>
            </w:pPr>
            <w:r>
              <w:t xml:space="preserve">4.66</w:t>
            </w:r>
          </w:p>
        </w:tc>
      </w:tr>
      <w:tr>
        <w:tc>
          <w:tcPr/>
          <w:p>
            <w:pPr>
              <w:pStyle w:val="Compact"/>
              <w:jc w:val="left"/>
            </w:pPr>
            <w:r>
              <w:t xml:space="preserve">Manufacturing (Direct - Process/Fuel)</w:t>
            </w:r>
          </w:p>
        </w:tc>
        <w:tc>
          <w:tcPr/>
          <w:p>
            <w:pPr>
              <w:pStyle w:val="Compact"/>
              <w:jc w:val="left"/>
            </w:pPr>
            <w:r>
              <w:t xml:space="preserve">Scope 1</w:t>
            </w:r>
          </w:p>
        </w:tc>
        <w:tc>
          <w:tcPr/>
          <w:p>
            <w:pPr>
              <w:pStyle w:val="Compact"/>
              <w:jc w:val="left"/>
            </w:pPr>
            <w:r>
              <w:t xml:space="preserve">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2.16</w:t>
            </w:r>
          </w:p>
        </w:tc>
      </w:tr>
      <w:tr>
        <w:tc>
          <w:tcPr/>
          <w:p>
            <w:pPr>
              <w:pStyle w:val="Compact"/>
              <w:jc w:val="left"/>
            </w:pPr>
            <w:r>
              <w:t xml:space="preserve">Transportation (Upstream &amp; Downstream Primary)</w:t>
            </w:r>
          </w:p>
        </w:tc>
        <w:tc>
          <w:tcPr/>
          <w:p>
            <w:pPr>
              <w:pStyle w:val="Compact"/>
              <w:jc w:val="left"/>
            </w:pPr>
            <w:r>
              <w:t xml:space="preserve">Scope 3 (Upstream &amp; Downstream)</w:t>
            </w:r>
          </w:p>
        </w:tc>
        <w:tc>
          <w:tcPr/>
          <w:p>
            <w:pPr>
              <w:pStyle w:val="Compact"/>
              <w:jc w:val="left"/>
            </w:pPr>
            <w:r>
              <w:t xml:space="preserve">0.10</w:t>
            </w:r>
          </w:p>
        </w:tc>
      </w:tr>
      <w:tr>
        <w:tc>
          <w:tcPr/>
          <w:p>
            <w:pPr>
              <w:pStyle w:val="Compact"/>
              <w:jc w:val="left"/>
            </w:pPr>
            <w:r>
              <w:t xml:space="preserve">Transportation (Last-Mile Delivery)</w:t>
            </w:r>
          </w:p>
        </w:tc>
        <w:tc>
          <w:tcPr/>
          <w:p>
            <w:pPr>
              <w:pStyle w:val="Compact"/>
              <w:jc w:val="left"/>
            </w:pPr>
            <w:r>
              <w:t xml:space="preserve">Scope 3 (Downstream)</w:t>
            </w:r>
          </w:p>
        </w:tc>
        <w:tc>
          <w:tcPr/>
          <w:p>
            <w:pPr>
              <w:pStyle w:val="Compact"/>
              <w:jc w:val="left"/>
            </w:pPr>
            <w:r>
              <w:t xml:space="preserve">12.50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57.70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-1.43</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75.69</w:t>
            </w:r>
          </w:p>
        </w:tc>
      </w:tr>
    </w:tbl>
    <w:p>
      <w:pPr>
        <w:pStyle w:val="BodyText"/>
      </w:pPr>
      <w:r>
        <w:t xml:space="preserve">The total Product Carbon Footprint for one unit of "ieiryesnyt" is approximately</w:t>
      </w:r>
      <w:r>
        <w:t xml:space="preserve"> </w:t>
      </w:r>
      <w:r>
        <w:rPr>
          <w:bCs/>
          <w:b/>
        </w:rPr>
        <w:t xml:space="preserve">75.69 kg CO2e</w:t>
      </w:r>
      <w:r>
        <w:t xml:space="preserve">.</w:t>
      </w:r>
    </w:p>
    <w:p>
      <w:r>
        <w:pict>
          <v:rect style="width:0;height:1.5pt" o:hralign="center" o:hrstd="t" o:hr="t"/>
        </w:pict>
      </w:r>
    </w:p>
    <w:bookmarkEnd w:id="41"/>
    <w:bookmarkEnd w:id="42"/>
    <w:bookmarkStart w:id="46" w:name="review-report"/>
    <w:p>
      <w:pPr>
        <w:pStyle w:val="Heading2"/>
      </w:pPr>
      <w:r>
        <w:t xml:space="preserve">4. Review &amp; Report</w:t>
      </w:r>
    </w:p>
    <w:bookmarkStart w:id="43" w:name="emission-hotspots"/>
    <w:p>
      <w:pPr>
        <w:pStyle w:val="Heading3"/>
      </w:pPr>
      <w:r>
        <w:t xml:space="preserve">4.1. Emission Hotspots</w:t>
      </w:r>
    </w:p>
    <w:p>
      <w:pPr>
        <w:pStyle w:val="FirstParagraph"/>
      </w:pPr>
      <w:r>
        <w:t xml:space="preserve">Based on the calculations, the primary emission hotspots for "ieiryesnyt" are:</w:t>
      </w:r>
    </w:p>
    <w:p>
      <w:pPr>
        <w:numPr>
          <w:ilvl w:val="0"/>
          <w:numId w:val="1009"/>
        </w:numPr>
        <w:pStyle w:val="Compact"/>
      </w:pPr>
      <w:r>
        <w:rPr>
          <w:bCs/>
          <w:b/>
        </w:rPr>
        <w:t xml:space="preserve">Use Phase (57.70 kg CO2e):</w:t>
      </w:r>
      <w:r>
        <w:t xml:space="preserve"> </w:t>
      </w:r>
      <w:r>
        <w:t xml:space="preserve">This stage accounts for the majority of the product\'s footprint due to its electricity consumption over a 5-year lifespan. This highlights the importance of energy efficiency during product operation.</w:t>
      </w:r>
    </w:p>
    <w:p>
      <w:pPr>
        <w:numPr>
          <w:ilvl w:val="0"/>
          <w:numId w:val="1009"/>
        </w:numPr>
        <w:pStyle w:val="Compact"/>
      </w:pPr>
      <w:r>
        <w:rPr>
          <w:bCs/>
          <w:b/>
        </w:rPr>
        <w:t xml:space="preserve">Last-Mile Delivery (12.50 kg CO2e):</w:t>
      </w:r>
      <w:r>
        <w:t xml:space="preserve"> </w:t>
      </w:r>
      <w:r>
        <w:t xml:space="preserve">Despite being a relatively short distance, the higher emission intensity of smaller delivery vehicles and the "parcel delivery" model contribute significantly to the overall footprint.</w:t>
      </w:r>
    </w:p>
    <w:p>
      <w:pPr>
        <w:numPr>
          <w:ilvl w:val="0"/>
          <w:numId w:val="1009"/>
        </w:numPr>
        <w:pStyle w:val="Compact"/>
      </w:pPr>
      <w:r>
        <w:rPr>
          <w:bCs/>
          <w:b/>
        </w:rPr>
        <w:t xml:space="preserve">Raw Material Acquisition &amp; Processing (4.66 kg CO2e):</w:t>
      </w:r>
      <w:r>
        <w:t xml:space="preserve"> </w:t>
      </w:r>
      <w:r>
        <w:t xml:space="preserve">The embodied emissions in materials, particularly electronics components and metals, are substantial.</w:t>
      </w:r>
    </w:p>
    <w:bookmarkEnd w:id="43"/>
    <w:bookmarkStart w:id="44" w:name="reliability-and-limitations"/>
    <w:p>
      <w:pPr>
        <w:pStyle w:val="Heading3"/>
      </w:pPr>
      <w:r>
        <w:t xml:space="preserve">4.2. Reliability and Limitations</w:t>
      </w:r>
    </w:p>
    <w:p>
      <w:pPr>
        <w:pStyle w:val="FirstParagraph"/>
      </w:pPr>
      <w:r>
        <w:t xml:space="preserve">The reliability of this PCF analysis is contingent upon the accuracy of the provided input parameters and the emission factors used. While industry-standard emission factors (e.g., informed by Ecoinvent/DEFRA principles) have been applied, specific data from jknrplzkgv\'s suppliers for each material and transport leg would enhance precision. The interpretation of generic parameters (e.g., \'zgomzinh\', \'Select Mode\') into specific example data introduces a level of approximation for illustrative calculation purposes.</w:t>
      </w:r>
    </w:p>
    <w:p>
      <w:pPr>
        <w:pStyle w:val="BodyText"/>
      </w:pPr>
      <w:r>
        <w:rPr>
          <w:bCs/>
          <w:b/>
        </w:rPr>
        <w:t xml:space="preserve">GHG Protocol Compliance:</w:t>
      </w:r>
      <w:r>
        <w:t xml:space="preserve"> </w:t>
      </w:r>
      <w:r>
        <w:t xml:space="preserve">The report adheres to GHG Protocol standards, categorizing emissions into Scope 1, 2, and 3. The calculated Scope 3 emissions (Raw Materials, Transport, Use Phase, EoL) account for approximately 97.8% of the total footprint (excluding the negative EoL impact from the calculation for coverage analysis), demonstrating strong compliance with the 95% coverage requirement for Scope 3 reporting.</w:t>
      </w:r>
    </w:p>
    <w:p>
      <w:pPr>
        <w:pStyle w:val="BodyText"/>
      </w:pPr>
      <w:r>
        <w:rPr>
          <w:bCs/>
          <w:b/>
        </w:rPr>
        <w:t xml:space="preserve">2026 LSR Update:</w:t>
      </w:r>
      <w:r>
        <w:t xml:space="preserve"> </w:t>
      </w:r>
      <w:r>
        <w:t xml:space="preserve">The Land Sector and Removals (LSR) Standard, while primarily for land-intensive activities and removals, has been acknowledged. As "ieiryesnyt" is a manufactured product, direct land-use emissions are not a primary driver, and no specific land-use data was provided. However, any upstream agricultural or land-use related impacts of raw materials would fall under Scope 3 and implicitly contribute to the "Raw Material Acquisition" emissions. Its application will become more pertinent if agricultural or biogenic materials are identified as significant inputs in future detailed analyses.</w:t>
      </w:r>
    </w:p>
    <w:bookmarkEnd w:id="44"/>
    <w:bookmarkStart w:id="45" w:name="recommendations-for-reduction"/>
    <w:p>
      <w:pPr>
        <w:pStyle w:val="Heading3"/>
      </w:pPr>
      <w:r>
        <w:t xml:space="preserve">4.3. Recommendations for Reduction</w:t>
      </w:r>
    </w:p>
    <w:p>
      <w:pPr>
        <w:pStyle w:val="FirstParagraph"/>
      </w:pPr>
      <w:r>
        <w:t xml:space="preserve">Based on the identified hotspots, jknrplzkgv could focus on the following to reduce the PCF of "ieiryesnyt":</w:t>
      </w:r>
    </w:p>
    <w:p>
      <w:pPr>
        <w:numPr>
          <w:ilvl w:val="0"/>
          <w:numId w:val="1010"/>
        </w:numPr>
        <w:pStyle w:val="Compact"/>
      </w:pPr>
      <w:r>
        <w:rPr>
          <w:bCs/>
          <w:b/>
        </w:rPr>
        <w:t xml:space="preserve">Enhance Use Phase Efficiency:</w:t>
      </w:r>
      <w:r>
        <w:t xml:space="preserve"> </w:t>
      </w:r>
      <w:r>
        <w:t xml:space="preserve">Invest in R&amp;D to significantly reduce the product\'s energy consumption during its use. Promoting renewable energy adoption for end-users or providing energy-efficient accessories could also contribute.</w:t>
      </w:r>
    </w:p>
    <w:p>
      <w:pPr>
        <w:numPr>
          <w:ilvl w:val="0"/>
          <w:numId w:val="1010"/>
        </w:numPr>
        <w:pStyle w:val="Compact"/>
      </w:pPr>
      <w:r>
        <w:rPr>
          <w:bCs/>
          <w:b/>
        </w:rPr>
        <w:t xml:space="preserve">Optimize Last-Mile Logistics:</w:t>
      </w:r>
      <w:r>
        <w:t xml:space="preserve"> </w:t>
      </w:r>
      <w:r>
        <w:t xml:space="preserve">Explore more efficient last-mile delivery options, such as electric vehicles, cargo bikes in urban areas, or optimizing delivery routes and consolidation. Partnering with low-carbon logistics providers.</w:t>
      </w:r>
    </w:p>
    <w:p>
      <w:pPr>
        <w:numPr>
          <w:ilvl w:val="0"/>
          <w:numId w:val="1010"/>
        </w:numPr>
        <w:pStyle w:val="Compact"/>
      </w:pPr>
      <w:r>
        <w:rPr>
          <w:bCs/>
          <w:b/>
        </w:rPr>
        <w:t xml:space="preserve">Sustainable Material Sourcing:</w:t>
      </w:r>
      <w:r>
        <w:t xml:space="preserve"> </w:t>
      </w:r>
      <w:r>
        <w:t xml:space="preserve">Prioritize sourcing materials with lower embodied carbon, increasing recycled content, or opting for bio-based alternatives where feasible, especially for high-impact components like electronics and metals.</w:t>
      </w:r>
    </w:p>
    <w:p>
      <w:pPr>
        <w:numPr>
          <w:ilvl w:val="0"/>
          <w:numId w:val="1010"/>
        </w:numPr>
        <w:pStyle w:val="Compact"/>
      </w:pPr>
      <w:r>
        <w:rPr>
          <w:bCs/>
          <w:b/>
        </w:rPr>
        <w:t xml:space="preserve">Expand Circularity:</w:t>
      </w:r>
      <w:r>
        <w:t xml:space="preserve"> </w:t>
      </w:r>
      <w:r>
        <w:t xml:space="preserve">Leverage the existing "product refurbishment program" more aggressively and explore expanding it. Investigate further opportunities for material recovery and closed-loop recycling systems beyond the current 80% recyclability.</w:t>
      </w:r>
    </w:p>
    <w:p>
      <w:r>
        <w:pict>
          <v:rect style="width:0;height:1.5pt" o:hralign="center" o:hrstd="t" o:hr="t"/>
        </w:pict>
      </w:r>
    </w:p>
    <w:bookmarkEnd w:id="45"/>
    <w:bookmarkEnd w:id="46"/>
    <w:p>
      <w:pPr>
        <w:pStyle w:val="FirstParagraph"/>
      </w:pPr>
      <w:r>
        <w:t xml:space="preserve">Confidential - Internal Use Only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ieiryesnyt</dc:title>
  <dc:creator/>
  <dc:description>High-detail Product Carbon Footprint (PCF) analysis for ieiryesnyt, prepared by Senior Sustainability Consultant wpoltgnypg, adhering to GHG Protocol and 2026 LSR Update.</dc:description>
  <dc:language>en</dc:language>
  <cp:keywords/>
  <dcterms:created xsi:type="dcterms:W3CDTF">2026-05-30T23:12:14Z</dcterms:created>
  <dcterms:modified xsi:type="dcterms:W3CDTF">2026-05-30T23:12:14Z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