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idqhnoykgf</w:t>
      </w:r>
      <w:r>
        <w:t xml:space="preserve"> </w:t>
      </w:r>
      <w:r>
        <w:t xml:space="preserve">(Smart</w:t>
      </w:r>
      <w:r>
        <w:t xml:space="preserve"> </w:t>
      </w:r>
      <w:r>
        <w:t xml:space="preserve">Home</w:t>
      </w:r>
      <w:r>
        <w:t xml:space="preserve"> </w:t>
      </w:r>
      <w:r>
        <w:t xml:space="preserve">Device)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idqhnoykgf (Smart Home Device)</w:t>
      </w:r>
    </w:p>
    <w:p>
      <w:pPr>
        <w:pStyle w:val="BodyText"/>
      </w:pPr>
      <w:r>
        <w:rPr>
          <w:bCs/>
          <w:b/>
        </w:rPr>
        <w:t xml:space="preserve">Company:</w:t>
      </w:r>
      <w:r>
        <w:t xml:space="preserve"> </w:t>
      </w:r>
      <w:r>
        <w:t xml:space="preserve">iwxjhqpvlv</w:t>
      </w:r>
    </w:p>
    <w:p>
      <w:pPr>
        <w:pStyle w:val="BodyText"/>
      </w:pPr>
      <w:r>
        <w:rPr>
          <w:bCs/>
          <w:b/>
        </w:rPr>
        <w:t xml:space="preserve">Senior Sustainability Consultant:</w:t>
      </w:r>
      <w:r>
        <w:t xml:space="preserve"> </w:t>
      </w:r>
      <w:r>
        <w:t xml:space="preserve">jqyuqqzxsl</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providing an estimate of the Product Carbon Footprint. Actual emissions may vary based on real-time operational data and specific supply chain conditions.</w:t>
      </w:r>
    </w:p>
    <w:bookmarkEnd w:id="20"/>
    <w:bookmarkStart w:id="45" w:name="X899c29594ec1145395c87569de49b584a2b7e23"/>
    <w:p>
      <w:pPr>
        <w:pStyle w:val="Heading1"/>
      </w:pPr>
      <w:r>
        <w:t xml:space="preserve">Product Carbon Footprint Analysis for idqhnoykgf (Smart Home Device)</w:t>
      </w:r>
    </w:p>
    <w:p>
      <w:pPr>
        <w:pStyle w:val="FirstParagraph"/>
      </w:pPr>
      <w:r>
        <w:rPr>
          <w:bCs/>
          <w:b/>
        </w:rPr>
        <w:t xml:space="preserve">Generated Date:</w:t>
      </w:r>
      <w:r>
        <w:t xml:space="preserve"> </w:t>
      </w:r>
      <w:r>
        <w:t xml:space="preserve">Wednesday, 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iwxjhqpvlv\'s product, idqhnoykgf (Smart Home Device), conducted by Senior Sustainability Consultant jqyuqqzxsl. The analysis adheres strictly to the GHG Protocol standards, categorizing emissions into Scope 1, Scope 2, and Scope 3, and applying the principles of the 2026 Land Sector and Removals (LSR) Standard. Our findings aim to identify key emission hotspots across the product\'s lifecycle from raw material acquisition to end-of-life, providing a foundation for targeted reduction strategies.</w:t>
      </w:r>
    </w:p>
    <w:p>
      <w:r>
        <w:pict>
          <v:rect style="width:0;height:1.5pt" o:hralign="center" o:hrstd="t" o:hr="t"/>
        </w:pict>
      </w:r>
    </w:p>
    <w:bookmarkEnd w:id="21"/>
    <w:bookmarkStart w:id="23" w:name="methodology"/>
    <w:p>
      <w:pPr>
        <w:pStyle w:val="Heading2"/>
      </w:pPr>
      <w:r>
        <w:t xml:space="preserve">Methodology</w:t>
      </w:r>
    </w:p>
    <w:p>
      <w:pPr>
        <w:pStyle w:val="FirstParagraph"/>
      </w:pPr>
      <w:r>
        <w:t xml:space="preserve">The Product Carbon Footprint (PCF) analysis for idqhnoykgf follows a rigorous five-step methodology in accordance with the GHG Protocol:</w:t>
      </w:r>
    </w:p>
    <w:p>
      <w:pPr>
        <w:numPr>
          <w:ilvl w:val="0"/>
          <w:numId w:val="1001"/>
        </w:numPr>
        <w:pStyle w:val="Compact"/>
      </w:pPr>
      <w:r>
        <w:rPr>
          <w:bCs/>
          <w:b/>
        </w:rPr>
        <w:t xml:space="preserve">Define Scope:</w:t>
      </w:r>
      <w:r>
        <w:t xml:space="preserve"> </w:t>
      </w:r>
      <w:r>
        <w:t xml:space="preserve">Establishing the functional unit, system boundaries, geographic scope, and allocation rules.</w:t>
      </w:r>
    </w:p>
    <w:p>
      <w:pPr>
        <w:numPr>
          <w:ilvl w:val="0"/>
          <w:numId w:val="1001"/>
        </w:numPr>
        <w:pStyle w:val="Compact"/>
      </w:pPr>
      <w:r>
        <w:rPr>
          <w:bCs/>
          <w:b/>
        </w:rPr>
        <w:t xml:space="preserve">Map Lifecycle:</w:t>
      </w:r>
      <w:r>
        <w:t xml:space="preserve"> </w:t>
      </w:r>
      <w:r>
        <w:t xml:space="preserve">Detailing all relevant lifecycle inventory stages for the product.</w:t>
      </w:r>
    </w:p>
    <w:p>
      <w:pPr>
        <w:numPr>
          <w:ilvl w:val="0"/>
          <w:numId w:val="1001"/>
        </w:numPr>
        <w:pStyle w:val="Compact"/>
      </w:pPr>
      <w:r>
        <w:rPr>
          <w:bCs/>
          <w:b/>
        </w:rPr>
        <w:t xml:space="preserve">Collect Data:</w:t>
      </w:r>
      <w:r>
        <w:t xml:space="preserve"> </w:t>
      </w:r>
      <w:r>
        <w:t xml:space="preserve">Gathering primary and secondary data points for material inputs, energy consumption, and logistics.</w:t>
      </w:r>
    </w:p>
    <w:p>
      <w:pPr>
        <w:numPr>
          <w:ilvl w:val="0"/>
          <w:numId w:val="1001"/>
        </w:numPr>
        <w:pStyle w:val="Compact"/>
      </w:pPr>
      <w:r>
        <w:rPr>
          <w:bCs/>
          <w:b/>
        </w:rPr>
        <w:t xml:space="preserve">Calculate Emissions:</w:t>
      </w:r>
      <w:r>
        <w:t xml:space="preserve"> </w:t>
      </w:r>
      <w:r>
        <w:t xml:space="preserve">Quantifying greenhouse gas emissions using the formula Activity Data × Emission Factor = CO2e, categorized by GHG Protocol Scopes.</w:t>
      </w:r>
    </w:p>
    <w:p>
      <w:pPr>
        <w:numPr>
          <w:ilvl w:val="0"/>
          <w:numId w:val="1001"/>
        </w:numPr>
        <w:pStyle w:val="Compact"/>
      </w:pPr>
      <w:r>
        <w:rPr>
          <w:bCs/>
          <w:b/>
        </w:rPr>
        <w:t xml:space="preserve">Review &amp; Report:</w:t>
      </w:r>
      <w:r>
        <w:t xml:space="preserve"> </w:t>
      </w:r>
      <w:r>
        <w:t xml:space="preserve">Identifying emission hotspots, assessing data reliability, and providing actionable recommendations.</w:t>
      </w:r>
    </w:p>
    <w:bookmarkStart w:id="22" w:name="ghg-protocol-adherence-and-updates"/>
    <w:p>
      <w:pPr>
        <w:pStyle w:val="Heading3"/>
      </w:pPr>
      <w:r>
        <w:t xml:space="preserve">GHG Protocol Adherence and Updates:</w:t>
      </w:r>
    </w:p>
    <w:p>
      <w:pPr>
        <w:numPr>
          <w:ilvl w:val="0"/>
          <w:numId w:val="1002"/>
        </w:numPr>
        <w:pStyle w:val="Compact"/>
      </w:pPr>
      <w:r>
        <w:rPr>
          <w:bCs/>
          <w:b/>
        </w:rPr>
        <w:t xml:space="preserve">Categorization:</w:t>
      </w:r>
      <w:r>
        <w:t xml:space="preserve"> </w:t>
      </w:r>
      <w:r>
        <w:t xml:space="preserve">Emissions are meticulously categorized into Scope 1 (direct emissions from owned or controlled sources), Scope 2 (indirect emissions from purchased electricity, steam, heating, or cooling), and Scope 3 (all other indirect emissions in the value chain).</w:t>
      </w:r>
    </w:p>
    <w:p>
      <w:pPr>
        <w:numPr>
          <w:ilvl w:val="0"/>
          <w:numId w:val="1002"/>
        </w:numPr>
        <w:pStyle w:val="Compact"/>
      </w:pPr>
      <w:r>
        <w:rPr>
          <w:bCs/>
          <w:b/>
        </w:rPr>
        <w:t xml:space="preserve">2026 LSR Update:</w:t>
      </w:r>
      <w:r>
        <w:t xml:space="preserve"> </w:t>
      </w:r>
      <w:r>
        <w:t xml:space="preserve">The Land Sector and Removals (LSR) Standard, effective January 1, 2027, is considered for land use and carbon removals. This standard provides accounting requirements and guidance for quantifying, reporting, and tracking land emissions, CO2 removals, and biogenic product emissions. For idqhnoykgf, direct land-use impacts from its material components (metals, plastics, electronics) are minimal, but the principles are acknowledged.</w:t>
      </w:r>
    </w:p>
    <w:p>
      <w:pPr>
        <w:numPr>
          <w:ilvl w:val="0"/>
          <w:numId w:val="1002"/>
        </w:numPr>
        <w:pStyle w:val="Compact"/>
      </w:pPr>
      <w:r>
        <w:rPr>
          <w:bCs/>
          <w:b/>
        </w:rPr>
        <w:t xml:space="preserve">Scope 3 Compliance:</w:t>
      </w:r>
      <w:r>
        <w:t xml:space="preserve"> </w:t>
      </w:r>
      <w:r>
        <w:t xml:space="preserve">This analysis targets at least 95% coverage for required Scope 3 emissions, aligning with the proposed 2026 revisions to the GHG Protocol Corporate Value Chain (Scope 3) Accounting and Reporting Standard. This aims to ensure comprehensive, transparent, and verifiable reporting of value chain emissions.</w:t>
      </w:r>
    </w:p>
    <w:p>
      <w:r>
        <w:pict>
          <v:rect style="width:0;height:1.5pt" o:hralign="center" o:hrstd="t" o:hr="t"/>
        </w:pict>
      </w:r>
    </w:p>
    <w:bookmarkEnd w:id="22"/>
    <w:bookmarkEnd w:id="23"/>
    <w:bookmarkStart w:id="24" w:name="define-scope"/>
    <w:p>
      <w:pPr>
        <w:pStyle w:val="Heading2"/>
      </w:pPr>
      <w:r>
        <w:t xml:space="preserve">1. Define Scope</w:t>
      </w:r>
    </w:p>
    <w:p>
      <w:pPr>
        <w:pStyle w:val="FirstParagraph"/>
      </w:pPr>
      <w:r>
        <w:t xml:space="preserve">This section outlines the foundational parameters for the PCF analysis of idqhnoykgf (Smart Home Device).</w:t>
      </w:r>
    </w:p>
    <w:p>
      <w:pPr>
        <w:numPr>
          <w:ilvl w:val="0"/>
          <w:numId w:val="1003"/>
        </w:numPr>
        <w:pStyle w:val="Compact"/>
      </w:pPr>
      <w:r>
        <w:rPr>
          <w:bCs/>
          <w:b/>
        </w:rPr>
        <w:t xml:space="preserve">Functional Unit:</w:t>
      </w:r>
      <w:r>
        <w:t xml:space="preserve"> </w:t>
      </w:r>
      <w:r>
        <w:t xml:space="preserve">1.0 unit of idqhnoykgf.</w:t>
      </w:r>
    </w:p>
    <w:p>
      <w:pPr>
        <w:numPr>
          <w:ilvl w:val="0"/>
          <w:numId w:val="1003"/>
        </w:numPr>
        <w:pStyle w:val="Compact"/>
      </w:pPr>
      <w:r>
        <w:rPr>
          <w:bCs/>
          <w:b/>
        </w:rPr>
        <w:t xml:space="preserve">System Boundary:</w:t>
      </w:r>
      <w:r>
        <w:t xml:space="preserve"> </w:t>
      </w:r>
      <w:r>
        <w:t xml:space="preserve">Cradle-to-grave, with a focus on the \'factory_gate\' for production emissions, extending to downstream use and end-of-life.</w:t>
      </w:r>
    </w:p>
    <w:p>
      <w:pPr>
        <w:numPr>
          <w:ilvl w:val="0"/>
          <w:numId w:val="1003"/>
        </w:numPr>
        <w:pStyle w:val="Compact"/>
      </w:pPr>
      <w:r>
        <w:rPr>
          <w:bCs/>
          <w:b/>
        </w:rPr>
        <w:t xml:space="preserve">Geographic Scope:</w:t>
      </w:r>
    </w:p>
    <w:p>
      <w:pPr>
        <w:numPr>
          <w:ilvl w:val="1"/>
          <w:numId w:val="1004"/>
        </w:numPr>
        <w:pStyle w:val="Compact"/>
      </w:pPr>
      <w:r>
        <w:rPr>
          <w:bCs/>
          <w:b/>
        </w:rPr>
        <w:t xml:space="preserve">Final Production Country:</w:t>
      </w:r>
      <w:r>
        <w:t xml:space="preserve"> </w:t>
      </w:r>
      <w:r>
        <w:t xml:space="preserve">China.</w:t>
      </w:r>
    </w:p>
    <w:p>
      <w:pPr>
        <w:numPr>
          <w:ilvl w:val="1"/>
          <w:numId w:val="1004"/>
        </w:numPr>
        <w:pStyle w:val="Compact"/>
      </w:pPr>
      <w:r>
        <w:rPr>
          <w:bCs/>
          <w:b/>
        </w:rPr>
        <w:t xml:space="preserve">Supply Chain Focus:</w:t>
      </w:r>
      <w:r>
        <w:t xml:space="preserve"> </w:t>
      </w:r>
      <w:r>
        <w:t xml:space="preserve">Europe Focused, implying distribution to the European market.</w:t>
      </w:r>
    </w:p>
    <w:p>
      <w:pPr>
        <w:numPr>
          <w:ilvl w:val="0"/>
          <w:numId w:val="1003"/>
        </w:numPr>
        <w:pStyle w:val="Compact"/>
      </w:pPr>
      <w:r>
        <w:rPr>
          <w:bCs/>
          <w:b/>
        </w:rPr>
        <w:t xml:space="preserve">Accounting Standard:</w:t>
      </w:r>
      <w:r>
        <w:t xml:space="preserve"> </w:t>
      </w:r>
      <w:r>
        <w:t xml:space="preserve">GHG Protocol (Product Standard, complemented by Corporate Standard and Scope 3 Standard).</w:t>
      </w:r>
    </w:p>
    <w:p>
      <w:pPr>
        <w:numPr>
          <w:ilvl w:val="0"/>
          <w:numId w:val="1003"/>
        </w:numPr>
        <w:pStyle w:val="Compact"/>
      </w:pPr>
      <w:r>
        <w:rPr>
          <w:bCs/>
          <w:b/>
        </w:rPr>
        <w:t xml:space="preserve">Allocation:</w:t>
      </w:r>
      <w:r>
        <w:t xml:space="preserve"> </w:t>
      </w:r>
      <w:r>
        <w:t xml:space="preserve">For processes involving co-products or multiple functions, allocation is performed based on physical relationships (e.g., mass) where feasible, or economic allocation when physical relationships are not directly attributable to the functional unit.</w:t>
      </w:r>
    </w:p>
    <w:p>
      <w:r>
        <w:pict>
          <v:rect style="width:0;height:1.5pt" o:hralign="center" o:hrstd="t" o:hr="t"/>
        </w:pict>
      </w:r>
    </w:p>
    <w:bookmarkEnd w:id="24"/>
    <w:bookmarkStart w:id="25" w:name="map-lifecycle-lci-inventory-stages"/>
    <w:p>
      <w:pPr>
        <w:pStyle w:val="Heading2"/>
      </w:pPr>
      <w:r>
        <w:t xml:space="preserve">2. Map Lifecycle (LCI Inventory Stages)</w:t>
      </w:r>
    </w:p>
    <w:p>
      <w:pPr>
        <w:pStyle w:val="FirstParagraph"/>
      </w:pPr>
      <w:r>
        <w:t xml:space="preserve">The lifecycle of idqhnoykgf is broken down into the following stages, facilitating a comprehensive assessment of environmental impacts:</w:t>
      </w:r>
    </w:p>
    <w:p>
      <w:pPr>
        <w:numPr>
          <w:ilvl w:val="0"/>
          <w:numId w:val="1005"/>
        </w:numPr>
        <w:pStyle w:val="Compact"/>
      </w:pPr>
      <w:r>
        <w:rPr>
          <w:bCs/>
          <w:b/>
        </w:rPr>
        <w:t xml:space="preserve">Raw Material Acquisition &amp; Pre-processing:</w:t>
      </w:r>
      <w:r>
        <w:t xml:space="preserve"> </w:t>
      </w:r>
      <w:r>
        <w:t xml:space="preserve">Extraction, processing, and manufacturing of all constituent materials, including metals, plastics, and electronic components, up to their point of entry into the manufacturing facility.</w:t>
      </w:r>
    </w:p>
    <w:p>
      <w:pPr>
        <w:numPr>
          <w:ilvl w:val="0"/>
          <w:numId w:val="1005"/>
        </w:numPr>
        <w:pStyle w:val="Compact"/>
      </w:pPr>
      <w:r>
        <w:rPr>
          <w:bCs/>
          <w:b/>
        </w:rPr>
        <w:t xml:space="preserve">Manufacturing (Production Phase):</w:t>
      </w:r>
      <w:r>
        <w:t xml:space="preserve"> </w:t>
      </w:r>
      <w:r>
        <w:t xml:space="preserve">All processes involved in the assembly and production of the idqhnoykgf device in the final production country (China), including energy consumption for machinery and facility operations.</w:t>
      </w:r>
    </w:p>
    <w:p>
      <w:pPr>
        <w:numPr>
          <w:ilvl w:val="0"/>
          <w:numId w:val="1005"/>
        </w:numPr>
        <w:pStyle w:val="Compact"/>
      </w:pPr>
      <w:r>
        <w:rPr>
          <w:bCs/>
          <w:b/>
        </w:rPr>
        <w:t xml:space="preserve">Transportation &amp; Distribution:</w:t>
      </w:r>
    </w:p>
    <w:p>
      <w:pPr>
        <w:numPr>
          <w:ilvl w:val="1"/>
          <w:numId w:val="1006"/>
        </w:numPr>
        <w:pStyle w:val="Compact"/>
      </w:pPr>
      <w:r>
        <w:rPr>
          <w:bCs/>
          <w:b/>
        </w:rPr>
        <w:t xml:space="preserve">Upstream:</w:t>
      </w:r>
      <w:r>
        <w:t xml:space="preserve"> </w:t>
      </w:r>
      <w:r>
        <w:t xml:space="preserve">Transport of raw materials and components to the manufacturing facility.</w:t>
      </w:r>
    </w:p>
    <w:p>
      <w:pPr>
        <w:numPr>
          <w:ilvl w:val="1"/>
          <w:numId w:val="1006"/>
        </w:numPr>
        <w:pStyle w:val="Compact"/>
      </w:pPr>
      <w:r>
        <w:rPr>
          <w:bCs/>
          <w:b/>
        </w:rPr>
        <w:t xml:space="preserve">Mid-stream:</w:t>
      </w:r>
      <w:r>
        <w:t xml:space="preserve"> </w:t>
      </w:r>
      <w:r>
        <w:t xml:space="preserve">Transport of the finished product from the factory in China to the distribution centers in Europe.</w:t>
      </w:r>
    </w:p>
    <w:p>
      <w:pPr>
        <w:numPr>
          <w:ilvl w:val="1"/>
          <w:numId w:val="1006"/>
        </w:numPr>
        <w:pStyle w:val="Compact"/>
      </w:pPr>
      <w:r>
        <w:rPr>
          <w:bCs/>
          <w:b/>
        </w:rPr>
        <w:t xml:space="preserve">Downstream (Last-Mile):</w:t>
      </w:r>
      <w:r>
        <w:t xml:space="preserve"> </w:t>
      </w:r>
      <w:r>
        <w:t xml:space="preserve">Delivery of the product from regional distribution centers to the end-consumer.</w:t>
      </w:r>
    </w:p>
    <w:p>
      <w:pPr>
        <w:numPr>
          <w:ilvl w:val="0"/>
          <w:numId w:val="1005"/>
        </w:numPr>
        <w:pStyle w:val="Compact"/>
      </w:pPr>
      <w:r>
        <w:rPr>
          <w:bCs/>
          <w:b/>
        </w:rPr>
        <w:t xml:space="preserve">Use Phase:</w:t>
      </w:r>
      <w:r>
        <w:t xml:space="preserve"> </w:t>
      </w:r>
      <w:r>
        <w:t xml:space="preserve">Energy consumption during the average anticipated lifespan of the idqhnoykgf device by the end-user.</w:t>
      </w:r>
    </w:p>
    <w:p>
      <w:pPr>
        <w:numPr>
          <w:ilvl w:val="0"/>
          <w:numId w:val="1005"/>
        </w:numPr>
        <w:pStyle w:val="Compact"/>
      </w:pPr>
      <w:r>
        <w:rPr>
          <w:bCs/>
          <w:b/>
        </w:rPr>
        <w:t xml:space="preserve">End-of-Life (EoL):</w:t>
      </w:r>
      <w:r>
        <w:t xml:space="preserve"> </w:t>
      </w:r>
      <w:r>
        <w:t xml:space="preserve">Processes associated with the disposal, recycling, or recovery of the product and its components at the end of its functional life.</w:t>
      </w:r>
    </w:p>
    <w:p>
      <w:r>
        <w:pict>
          <v:rect style="width:0;height:1.5pt" o:hralign="center" o:hrstd="t" o:hr="t"/>
        </w:pict>
      </w:r>
    </w:p>
    <w:bookmarkEnd w:id="25"/>
    <w:bookmarkStart w:id="31" w:name="Xb57f50a89bf1f3f1837369be949d9d60d6c1272"/>
    <w:p>
      <w:pPr>
        <w:pStyle w:val="Heading2"/>
      </w:pPr>
      <w:r>
        <w:t xml:space="preserve">3. Collect Data (Primary/Secondary Data Points)</w:t>
      </w:r>
    </w:p>
    <w:p>
      <w:pPr>
        <w:pStyle w:val="FirstParagraph"/>
      </w:pPr>
      <w:r>
        <w:t xml:space="preserve">This section details the specific data collected and assumed for the PCF calculation of idqhnoykgf. Emission factors are drawn from industry-standard sources (e.g., Ecoinvent/DEFRA principles) and representative values where specific databases are not directly accessible, ensuring a high-detail analysis.</w:t>
      </w:r>
    </w:p>
    <w:bookmarkStart w:id="26" w:name="Xee8f9cbe75886c78da618ab58df354b9e244fe8"/>
    <w:p>
      <w:pPr>
        <w:pStyle w:val="Heading3"/>
      </w:pPr>
      <w:r>
        <w:t xml:space="preserve">Detailed Bill of Materials (BOM) - gpmjuoty (for idqhnoykgf)</w:t>
      </w:r>
    </w:p>
    <w:p>
      <w:pPr>
        <w:pStyle w:val="FirstParagraph"/>
      </w:pPr>
      <w:r>
        <w:t xml:space="preserve">The following table outlines the material composition of idqhnoykgf, including estimated quantities, associated processes, and their respective cradle-to-gate emission factors. These values are crucial for accurately calculating emissions from purchased goods and services (Scope 3, Category 1).</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3.125</w:t>
            </w:r>
          </w:p>
        </w:tc>
        <w:tc>
          <w:tcPr/>
          <w:p>
            <w:pPr>
              <w:pStyle w:val="Compact"/>
              <w:jc w:val="left"/>
            </w:pPr>
            <w:r>
              <w:t xml:space="preserve">0.938</w:t>
            </w:r>
          </w:p>
        </w:tc>
      </w:tr>
      <w:tr>
        <w:tc>
          <w:tcPr/>
          <w:p>
            <w:pPr>
              <w:pStyle w:val="Compact"/>
              <w:jc w:val="left"/>
            </w:pPr>
            <w:r>
              <w:t xml:space="preserve">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100.00 (per kg, illustrative for complex PCB)</w:t>
            </w:r>
          </w:p>
        </w:tc>
        <w:tc>
          <w:tcPr/>
          <w:p>
            <w:pPr>
              <w:pStyle w:val="Compact"/>
              <w:jc w:val="left"/>
            </w:pPr>
            <w:r>
              <w:t xml:space="preserve">5.000</w:t>
            </w:r>
          </w:p>
        </w:tc>
      </w:tr>
      <w:tr>
        <w:tc>
          <w:tcPr/>
          <w:p>
            <w:pPr>
              <w:pStyle w:val="Compact"/>
              <w:jc w:val="left"/>
            </w:pPr>
            <w:r>
              <w:t xml:space="preserve">3</w:t>
            </w:r>
          </w:p>
        </w:tc>
        <w:tc>
          <w:tcPr/>
          <w:p>
            <w:pPr>
              <w:pStyle w:val="Compact"/>
              <w:jc w:val="left"/>
            </w:pPr>
            <w:r>
              <w:t xml:space="preserve">Aluminum Heatsink</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4.500 (illustrative for primary aluminum)</w:t>
            </w:r>
          </w:p>
        </w:tc>
        <w:tc>
          <w:tcPr/>
          <w:p>
            <w:pPr>
              <w:pStyle w:val="Compact"/>
              <w:jc w:val="left"/>
            </w:pPr>
            <w:r>
              <w:t xml:space="preserve">0.450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4.000 (illustrative)</w:t>
            </w:r>
          </w:p>
        </w:tc>
        <w:tc>
          <w:tcPr/>
          <w:p>
            <w:pPr>
              <w:pStyle w:val="Compact"/>
              <w:jc w:val="left"/>
            </w:pPr>
            <w:r>
              <w:t xml:space="preserve">0.080</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Components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8.000 (illustrative)</w:t>
            </w:r>
          </w:p>
        </w:tc>
        <w:tc>
          <w:tcPr/>
          <w:p>
            <w:pPr>
              <w:pStyle w:val="Compact"/>
              <w:jc w:val="left"/>
            </w:pPr>
            <w:r>
              <w:t xml:space="preserve">0.800</w:t>
            </w:r>
          </w:p>
        </w:tc>
      </w:tr>
      <w:tr>
        <w:tc>
          <w:tcPr/>
          <w:p>
            <w:pPr>
              <w:pStyle w:val="Compact"/>
              <w:jc w:val="left"/>
            </w:pPr>
            <w:r>
              <w:t xml:space="preserve">6</w:t>
            </w:r>
          </w:p>
        </w:tc>
        <w:tc>
          <w:tcPr/>
          <w:p>
            <w:pPr>
              <w:pStyle w:val="Compact"/>
              <w:jc w:val="left"/>
            </w:pPr>
            <w:r>
              <w:t xml:space="preserve">Sensors &amp; Microchips</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60.000 (illustrative for complex electronics)</w:t>
            </w:r>
          </w:p>
        </w:tc>
        <w:tc>
          <w:tcPr/>
          <w:p>
            <w:pPr>
              <w:pStyle w:val="Compact"/>
              <w:jc w:val="left"/>
            </w:pPr>
            <w:r>
              <w:t xml:space="preserve">1.800</w:t>
            </w:r>
          </w:p>
        </w:tc>
      </w:tr>
      <w:tr>
        <w:tc>
          <w:tcPr/>
          <w:p>
            <w:pPr>
              <w:pStyle w:val="Compact"/>
              <w:jc w:val="left"/>
            </w:pPr>
            <w:r>
              <w:t xml:space="preserve">7</w:t>
            </w:r>
          </w:p>
        </w:tc>
        <w:tc>
          <w:tcPr/>
          <w:p>
            <w:pPr>
              <w:pStyle w:val="Compact"/>
              <w:jc w:val="left"/>
            </w:pPr>
            <w:r>
              <w:t xml:space="preserve">Packaging (Corrugated Cardboard)</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1.200 (cradle-to-gate average)</w:t>
            </w:r>
          </w:p>
        </w:tc>
        <w:tc>
          <w:tcPr/>
          <w:p>
            <w:pPr>
              <w:pStyle w:val="Compact"/>
              <w:jc w:val="left"/>
            </w:pPr>
            <w:r>
              <w:t xml:space="preserve">0.180</w:t>
            </w:r>
          </w:p>
        </w:tc>
      </w:tr>
      <w:tr>
        <w:tc>
          <w:tcPr>
            <w:gridSpan w:val="4"/>
          </w:tcPr>
          <w:p>
            <w:pPr>
              <w:pStyle w:val="Compact"/>
              <w:jc w:val="left"/>
            </w:pPr>
            <w:r>
              <w:rPr>
                <w:bCs/>
                <w:b/>
              </w:rPr>
              <w:t xml:space="preserve">Total Material Weight / Total Carbon from Materials</w:t>
            </w:r>
          </w:p>
        </w:tc>
        <w:tc>
          <w:tcPr/>
          <w:p>
            <w:pPr>
              <w:pStyle w:val="Compact"/>
              <w:jc w:val="left"/>
            </w:pPr>
            <w:r>
              <w:rPr>
                <w:bCs/>
                <w:b/>
              </w:rPr>
              <w:t xml:space="preserve">0.75 kg</w:t>
            </w:r>
          </w:p>
        </w:tc>
        <w:tc>
          <w:tcPr/>
          <w:p>
            <w:pPr>
              <w:pStyle w:val="Compact"/>
            </w:pPr>
          </w:p>
        </w:tc>
        <w:tc>
          <w:tcPr/>
          <w:p>
            <w:pPr>
              <w:pStyle w:val="Compact"/>
            </w:pPr>
          </w:p>
        </w:tc>
        <w:tc>
          <w:tcPr/>
          <w:p>
            <w:pPr>
              <w:pStyle w:val="Compact"/>
              <w:jc w:val="left"/>
            </w:pPr>
            <w:r>
              <w:rPr>
                <w:bCs/>
                <w:b/>
              </w:rPr>
              <w:t xml:space="preserve">9.248 kgCO2e</w:t>
            </w:r>
          </w:p>
        </w:tc>
      </w:tr>
    </w:tbl>
    <w:bookmarkEnd w:id="26"/>
    <w:bookmarkStart w:id="27" w:name="transport-logistics-data"/>
    <w:p>
      <w:pPr>
        <w:pStyle w:val="Heading3"/>
      </w:pPr>
      <w:r>
        <w:t xml:space="preserve">Transport Logistics Data</w:t>
      </w:r>
    </w:p>
    <w:p>
      <w:pPr>
        <w:numPr>
          <w:ilvl w:val="0"/>
          <w:numId w:val="1007"/>
        </w:numPr>
        <w:pStyle w:val="Compact"/>
      </w:pPr>
      <w:r>
        <w:rPr>
          <w:bCs/>
          <w:b/>
        </w:rPr>
        <w:t xml:space="preserve">Main Transport Mode (China to Europe):</w:t>
      </w:r>
      <w:r>
        <w:t xml:space="preserve"> </w:t>
      </w:r>
      <w:r>
        <w:t xml:space="preserve">Ocean Freight (Container Ship)</w:t>
      </w:r>
    </w:p>
    <w:p>
      <w:pPr>
        <w:numPr>
          <w:ilvl w:val="0"/>
          <w:numId w:val="1007"/>
        </w:numPr>
        <w:pStyle w:val="Compact"/>
      </w:pPr>
      <w:r>
        <w:rPr>
          <w:bCs/>
          <w:b/>
        </w:rPr>
        <w:t xml:space="preserve">Main Transport Distance (ludhirvsnh):</w:t>
      </w:r>
      <w:r>
        <w:t xml:space="preserve"> </w:t>
      </w:r>
      <w:r>
        <w:t xml:space="preserve">15,000 km</w:t>
      </w:r>
    </w:p>
    <w:p>
      <w:pPr>
        <w:numPr>
          <w:ilvl w:val="0"/>
          <w:numId w:val="1007"/>
        </w:numPr>
        <w:pStyle w:val="Compact"/>
      </w:pPr>
      <w:r>
        <w:rPr>
          <w:bCs/>
          <w:b/>
        </w:rPr>
        <w:t xml:space="preserve">Last-Mile Delivery Channel (Delivery Type):</w:t>
      </w:r>
      <w:r>
        <w:t xml:space="preserve"> </w:t>
      </w:r>
      <w:r>
        <w:t xml:space="preserve">Road Freight (Light Commercial Vehicle)</w:t>
      </w:r>
    </w:p>
    <w:p>
      <w:pPr>
        <w:numPr>
          <w:ilvl w:val="0"/>
          <w:numId w:val="1007"/>
        </w:numPr>
        <w:pStyle w:val="Compact"/>
      </w:pPr>
      <w:r>
        <w:rPr>
          <w:bCs/>
          <w:b/>
        </w:rPr>
        <w:t xml:space="preserve">Last-Mile Transport Distance (ludhirvsnh):</w:t>
      </w:r>
      <w:r>
        <w:t xml:space="preserve"> </w:t>
      </w:r>
      <w:r>
        <w:t xml:space="preserve">500 km</w:t>
      </w:r>
    </w:p>
    <w:p>
      <w:pPr>
        <w:numPr>
          <w:ilvl w:val="0"/>
          <w:numId w:val="1007"/>
        </w:numPr>
        <w:pStyle w:val="Compact"/>
      </w:pPr>
      <w:r>
        <w:rPr>
          <w:bCs/>
          <w:b/>
        </w:rPr>
        <w:t xml:space="preserve">Assumed Product Weight for Transport:</w:t>
      </w:r>
      <w:r>
        <w:t xml:space="preserve"> </w:t>
      </w:r>
      <w:r>
        <w:t xml:space="preserve">0.6 kg (device only for ocean freight), 0.75 kg (device + packaging for last-mile)</w:t>
      </w:r>
    </w:p>
    <w:p>
      <w:pPr>
        <w:numPr>
          <w:ilvl w:val="0"/>
          <w:numId w:val="1007"/>
        </w:numPr>
        <w:pStyle w:val="Compact"/>
      </w:pPr>
      <w:r>
        <w:rPr>
          <w:bCs/>
          <w:b/>
        </w:rPr>
        <w:t xml:space="preserve">Emission Factor - Ocean Freight (Container Ship):</w:t>
      </w:r>
      <w:r>
        <w:t xml:space="preserve"> </w:t>
      </w:r>
      <w:r>
        <w:t xml:space="preserve">0.016 kgCO2e/tonne-km</w:t>
      </w:r>
    </w:p>
    <w:p>
      <w:pPr>
        <w:numPr>
          <w:ilvl w:val="0"/>
          <w:numId w:val="1007"/>
        </w:numPr>
        <w:pStyle w:val="Compact"/>
      </w:pPr>
      <w:r>
        <w:rPr>
          <w:bCs/>
          <w:b/>
        </w:rPr>
        <w:t xml:space="preserve">Emission Factor - Road Freight (Light Commercial Vehicle):</w:t>
      </w:r>
      <w:r>
        <w:t xml:space="preserve"> </w:t>
      </w:r>
      <w:r>
        <w:t xml:space="preserve">0.15 kgCO2e/tonne-km (illustrative)</w:t>
      </w:r>
    </w:p>
    <w:bookmarkEnd w:id="27"/>
    <w:bookmarkStart w:id="28" w:name="production-phase-energy-data"/>
    <w:p>
      <w:pPr>
        <w:pStyle w:val="Heading3"/>
      </w:pPr>
      <w:r>
        <w:t xml:space="preserve">Production Phase Energy Data</w:t>
      </w:r>
    </w:p>
    <w:p>
      <w:pPr>
        <w:numPr>
          <w:ilvl w:val="0"/>
          <w:numId w:val="1008"/>
        </w:numPr>
        <w:pStyle w:val="Compact"/>
      </w:pPr>
      <w:r>
        <w:rPr>
          <w:bCs/>
          <w:b/>
        </w:rPr>
        <w:t xml:space="preserve">Renewable Energy Usage (rgxjfqlvou):</w:t>
      </w:r>
      <w:r>
        <w:t xml:space="preserve"> </w:t>
      </w:r>
      <w:r>
        <w:t xml:space="preserve">50%</w:t>
      </w:r>
    </w:p>
    <w:p>
      <w:pPr>
        <w:numPr>
          <w:ilvl w:val="0"/>
          <w:numId w:val="1008"/>
        </w:numPr>
        <w:pStyle w:val="Compact"/>
      </w:pPr>
      <w:r>
        <w:rPr>
          <w:bCs/>
          <w:b/>
        </w:rPr>
        <w:t xml:space="preserve">Energy Intensity (kWh/unit) (wedduntllu):</w:t>
      </w:r>
      <w:r>
        <w:t xml:space="preserve"> </w:t>
      </w:r>
      <w:r>
        <w:t xml:space="preserve">10 kWh/unit</w:t>
      </w:r>
    </w:p>
    <w:p>
      <w:pPr>
        <w:numPr>
          <w:ilvl w:val="0"/>
          <w:numId w:val="1008"/>
        </w:numPr>
        <w:pStyle w:val="Compact"/>
      </w:pPr>
      <w:r>
        <w:rPr>
          <w:bCs/>
          <w:b/>
        </w:rPr>
        <w:t xml:space="preserve">Emission Factor - China Grid Electricity (non-renewable):</w:t>
      </w:r>
      <w:r>
        <w:t xml:space="preserve"> </w:t>
      </w:r>
      <w:r>
        <w:t xml:space="preserve">0.6 kgCO2e/kWh (illustrative average)</w:t>
      </w:r>
    </w:p>
    <w:bookmarkEnd w:id="28"/>
    <w:bookmarkStart w:id="29" w:name="X1ba14a67a329254cce30ddbf9878601bb9c0fa0"/>
    <w:p>
      <w:pPr>
        <w:pStyle w:val="Heading3"/>
      </w:pPr>
      <w:r>
        <w:t xml:space="preserve">Use Phase Durability and Consumption Data</w:t>
      </w:r>
    </w:p>
    <w:p>
      <w:pPr>
        <w:numPr>
          <w:ilvl w:val="0"/>
          <w:numId w:val="1009"/>
        </w:numPr>
        <w:pStyle w:val="Compact"/>
      </w:pPr>
      <w:r>
        <w:rPr>
          <w:bCs/>
          <w:b/>
        </w:rPr>
        <w:t xml:space="preserve">Product Lifespan (uutorzkprh):</w:t>
      </w:r>
      <w:r>
        <w:t xml:space="preserve"> </w:t>
      </w:r>
      <w:r>
        <w:t xml:space="preserve">5 years</w:t>
      </w:r>
    </w:p>
    <w:p>
      <w:pPr>
        <w:numPr>
          <w:ilvl w:val="0"/>
          <w:numId w:val="1009"/>
        </w:numPr>
        <w:pStyle w:val="Compact"/>
      </w:pPr>
      <w:r>
        <w:rPr>
          <w:bCs/>
          <w:b/>
        </w:rPr>
        <w:t xml:space="preserve">Energy Consumption in Use (ulkzjpovsk):</w:t>
      </w:r>
      <w:r>
        <w:t xml:space="preserve"> </w:t>
      </w:r>
      <w:r>
        <w:t xml:space="preserve">20 kWh/year</w:t>
      </w:r>
    </w:p>
    <w:p>
      <w:pPr>
        <w:numPr>
          <w:ilvl w:val="0"/>
          <w:numId w:val="1009"/>
        </w:numPr>
        <w:pStyle w:val="Compact"/>
      </w:pPr>
      <w:r>
        <w:rPr>
          <w:bCs/>
          <w:b/>
        </w:rPr>
        <w:t xml:space="preserve">Emission Factor - Average User Electricity Grid Mix (Europe):</w:t>
      </w:r>
      <w:r>
        <w:t xml:space="preserve"> </w:t>
      </w:r>
      <w:r>
        <w:t xml:space="preserve">0.35 kgCO2e/kWh (illustrative)</w:t>
      </w:r>
    </w:p>
    <w:bookmarkEnd w:id="29"/>
    <w:bookmarkStart w:id="30" w:name="end-of-life-eol-scenarios"/>
    <w:p>
      <w:pPr>
        <w:pStyle w:val="Heading3"/>
      </w:pPr>
      <w:r>
        <w:t xml:space="preserve">End-of-Life (EoL) Scenarios</w:t>
      </w:r>
    </w:p>
    <w:p>
      <w:pPr>
        <w:numPr>
          <w:ilvl w:val="0"/>
          <w:numId w:val="1010"/>
        </w:numPr>
        <w:pStyle w:val="Compact"/>
      </w:pPr>
      <w:r>
        <w:rPr>
          <w:bCs/>
          <w:b/>
        </w:rPr>
        <w:t xml:space="preserve">Recyclability Percentage (insiuuiehg):</w:t>
      </w:r>
      <w:r>
        <w:t xml:space="preserve"> </w:t>
      </w:r>
      <w:r>
        <w:t xml:space="preserve">70%</w:t>
      </w:r>
    </w:p>
    <w:p>
      <w:pPr>
        <w:numPr>
          <w:ilvl w:val="0"/>
          <w:numId w:val="1010"/>
        </w:numPr>
        <w:pStyle w:val="Compact"/>
      </w:pPr>
      <w:r>
        <w:rPr>
          <w:bCs/>
          <w:b/>
        </w:rPr>
        <w:t xml:space="preserve">Circular/Take-back Programs (lxjlmlunou):</w:t>
      </w:r>
      <w:r>
        <w:t xml:space="preserve"> </w:t>
      </w:r>
      <w:r>
        <w:t xml:space="preserve">Yes, regional take-back program active.</w:t>
      </w:r>
    </w:p>
    <w:p>
      <w:pPr>
        <w:numPr>
          <w:ilvl w:val="0"/>
          <w:numId w:val="1010"/>
        </w:numPr>
        <w:pStyle w:val="Compact"/>
      </w:pPr>
      <w:r>
        <w:rPr>
          <w:bCs/>
          <w:b/>
        </w:rPr>
        <w:t xml:space="preserve">Assumed Product Weight for EoL:</w:t>
      </w:r>
      <w:r>
        <w:t xml:space="preserve"> </w:t>
      </w:r>
      <w:r>
        <w:t xml:space="preserve">0.75 kg (device + packaging)</w:t>
      </w:r>
    </w:p>
    <w:p>
      <w:pPr>
        <w:numPr>
          <w:ilvl w:val="0"/>
          <w:numId w:val="1010"/>
        </w:numPr>
        <w:pStyle w:val="Compact"/>
      </w:pPr>
      <w:r>
        <w:rPr>
          <w:bCs/>
          <w:b/>
        </w:rPr>
        <w:t xml:space="preserve">Emission Factor - Non-Recycled Waste (Landfill/Incineration):</w:t>
      </w:r>
      <w:r>
        <w:t xml:space="preserve"> </w:t>
      </w:r>
      <w:r>
        <w:t xml:space="preserve">2.0 kgCO2e/kg (illustrative for mixed waste)</w:t>
      </w:r>
    </w:p>
    <w:p>
      <w:r>
        <w:pict>
          <v:rect style="width:0;height:1.5pt" o:hralign="center" o:hrstd="t" o:hr="t"/>
        </w:pict>
      </w:r>
    </w:p>
    <w:bookmarkEnd w:id="30"/>
    <w:bookmarkEnd w:id="31"/>
    <w:bookmarkStart w:id="40" w:name="calculate-emissions"/>
    <w:p>
      <w:pPr>
        <w:pStyle w:val="Heading2"/>
      </w:pPr>
      <w:r>
        <w:t xml:space="preserve">4. Calculate Emissions</w:t>
      </w:r>
    </w:p>
    <w:p>
      <w:pPr>
        <w:pStyle w:val="FirstParagraph"/>
      </w:pPr>
      <w:r>
        <w:t xml:space="preserve">Emissions are calculated for each lifecycle stage and categorized according to the GHG Protocol Scopes.</w:t>
      </w:r>
    </w:p>
    <w:bookmarkStart w:id="32" w:name="scope-1-emissions-direct-emissions"/>
    <w:p>
      <w:pPr>
        <w:pStyle w:val="Heading3"/>
      </w:pPr>
      <w:r>
        <w:t xml:space="preserve">Scope 1 Emissions (Direct Emissions)</w:t>
      </w:r>
    </w:p>
    <w:p>
      <w:pPr>
        <w:pStyle w:val="FirstParagraph"/>
      </w:pPr>
      <w:r>
        <w:t xml:space="preserve">Given the \'factory_gate\' system boundary and final production in China, direct Scope 1 emissions from operations owned or controlled by iwxjhqpvlv at the final production site are assumed to be negligible or covered by the manufacturing facility\'s own Scope 1. For this product-level analysis, no significant Scope 1 emissions are directly attributed to iwxjhqpvlv.</w:t>
      </w:r>
    </w:p>
    <w:p>
      <w:pPr>
        <w:pStyle w:val="BodyText"/>
      </w:pPr>
      <w:r>
        <w:rPr>
          <w:bCs/>
          <w:b/>
        </w:rPr>
        <w:t xml:space="preserve">Total Scope 1 Emissions: 0.00 kgCO2e/unit</w:t>
      </w:r>
    </w:p>
    <w:bookmarkEnd w:id="32"/>
    <w:bookmarkStart w:id="33" w:name="scope-2-emissions-purchased-energy"/>
    <w:p>
      <w:pPr>
        <w:pStyle w:val="Heading3"/>
      </w:pPr>
      <w:r>
        <w:t xml:space="preserve">Scope 2 Emissions (Purchased Energy)</w:t>
      </w:r>
    </w:p>
    <w:p>
      <w:pPr>
        <w:pStyle w:val="FirstParagraph"/>
      </w:pPr>
      <w:r>
        <w:t xml:space="preserve">This category accounts for greenhouse gas emissions from the generation of purchased electricity for the manufacturing of idqhnoykgf in China.</w:t>
      </w:r>
    </w:p>
    <w:p>
      <w:pPr>
        <w:numPr>
          <w:ilvl w:val="0"/>
          <w:numId w:val="1011"/>
        </w:numPr>
        <w:pStyle w:val="Compact"/>
      </w:pPr>
      <w:r>
        <w:t xml:space="preserve">Total Energy Intensity: 10 kWh/unit</w:t>
      </w:r>
    </w:p>
    <w:p>
      <w:pPr>
        <w:numPr>
          <w:ilvl w:val="0"/>
          <w:numId w:val="1011"/>
        </w:numPr>
        <w:pStyle w:val="Compact"/>
      </w:pPr>
      <w:r>
        <w:t xml:space="preserve">Renewable Energy Usage: 50%</w:t>
      </w:r>
    </w:p>
    <w:p>
      <w:pPr>
        <w:numPr>
          <w:ilvl w:val="0"/>
          <w:numId w:val="1011"/>
        </w:numPr>
        <w:pStyle w:val="Compact"/>
      </w:pPr>
      <w:r>
        <w:t xml:space="preserve">Non-renewable Electricity Purchased: 10 kWh/unit * (1 - 0.50) = 5 kWh/unit</w:t>
      </w:r>
    </w:p>
    <w:p>
      <w:pPr>
        <w:numPr>
          <w:ilvl w:val="0"/>
          <w:numId w:val="1011"/>
        </w:numPr>
        <w:pStyle w:val="Compact"/>
      </w:pPr>
      <w:r>
        <w:t xml:space="preserve">China Grid Electricity Emission Factor: 0.6 kgCO2e/kWh</w:t>
      </w:r>
    </w:p>
    <w:p>
      <w:pPr>
        <w:numPr>
          <w:ilvl w:val="0"/>
          <w:numId w:val="1011"/>
        </w:numPr>
        <w:pStyle w:val="Compact"/>
      </w:pPr>
      <w:r>
        <w:rPr>
          <w:bCs/>
          <w:b/>
        </w:rPr>
        <w:t xml:space="preserve">Calculated Emissions (Production Energy):</w:t>
      </w:r>
      <w:r>
        <w:t xml:space="preserve"> </w:t>
      </w:r>
      <w:r>
        <w:t xml:space="preserve">5 kWh/unit * 0.6 kgCO2e/kWh =</w:t>
      </w:r>
      <w:r>
        <w:t xml:space="preserve"> </w:t>
      </w:r>
      <w:r>
        <w:rPr>
          <w:bCs/>
          <w:b/>
        </w:rPr>
        <w:t xml:space="preserve">3.00 kgCO2e/unit</w:t>
      </w:r>
    </w:p>
    <w:p>
      <w:pPr>
        <w:pStyle w:val="FirstParagraph"/>
      </w:pPr>
      <w:r>
        <w:rPr>
          <w:bCs/>
          <w:b/>
        </w:rPr>
        <w:t xml:space="preserve">Total Scope 2 Emissions: 3.00 kgCO2e/unit</w:t>
      </w:r>
    </w:p>
    <w:bookmarkEnd w:id="33"/>
    <w:bookmarkStart w:id="38" w:name="scope-3-emissions-value-chain-emissions"/>
    <w:p>
      <w:pPr>
        <w:pStyle w:val="Heading3"/>
      </w:pPr>
      <w:r>
        <w:t xml:space="preserve">Scope 3 Emissions (Value Chain Emissions)</w:t>
      </w:r>
    </w:p>
    <w:p>
      <w:pPr>
        <w:pStyle w:val="FirstParagraph"/>
      </w:pPr>
      <w:r>
        <w:t xml:space="preserve">Scope 3 emissions represent all other indirect emissions from the product\'s value chain. This forms the majority of the PCF for idqhnoykgf.</w:t>
      </w:r>
    </w:p>
    <w:bookmarkStart w:id="34" w:name="X6b4bede62eec6fea496134e3f9fa1b231ac088b"/>
    <w:p>
      <w:pPr>
        <w:pStyle w:val="Heading4"/>
      </w:pPr>
      <w:r>
        <w:t xml:space="preserve">Category 1: Purchased Goods and Services (Raw Materials)</w:t>
      </w:r>
    </w:p>
    <w:p>
      <w:pPr>
        <w:pStyle w:val="FirstParagraph"/>
      </w:pPr>
      <w:r>
        <w:t xml:space="preserve">This includes the emissions associated with the extraction, production, and pre-processing of all materials listed in the Detailed Bill of Materials.</w:t>
      </w:r>
    </w:p>
    <w:p>
      <w:pPr>
        <w:numPr>
          <w:ilvl w:val="0"/>
          <w:numId w:val="1012"/>
        </w:numPr>
        <w:pStyle w:val="Compact"/>
      </w:pPr>
      <w:r>
        <w:rPr>
          <w:bCs/>
          <w:b/>
        </w:rPr>
        <w:t xml:space="preserve">Total Carbon from Materials (from BOM):</w:t>
      </w:r>
      <w:r>
        <w:t xml:space="preserve"> </w:t>
      </w:r>
      <w:r>
        <w:rPr>
          <w:bCs/>
          <w:b/>
        </w:rPr>
        <w:t xml:space="preserve">9.248 kgCO2e/unit</w:t>
      </w:r>
    </w:p>
    <w:bookmarkEnd w:id="34"/>
    <w:bookmarkStart w:id="35" w:name="X6669a43143349c25ec93e775eebde43de53a73c"/>
    <w:p>
      <w:pPr>
        <w:pStyle w:val="Heading4"/>
      </w:pPr>
      <w:r>
        <w:t xml:space="preserve">Category 4: Upstream Transportation and Distribution</w:t>
      </w:r>
    </w:p>
    <w:p>
      <w:pPr>
        <w:pStyle w:val="FirstParagraph"/>
      </w:pPr>
      <w:r>
        <w:t xml:space="preserve">This covers the emissions from transporting raw materials, components, and the finished product to the distribution centers.</w:t>
      </w:r>
    </w:p>
    <w:p>
      <w:pPr>
        <w:numPr>
          <w:ilvl w:val="0"/>
          <w:numId w:val="1013"/>
        </w:numPr>
        <w:pStyle w:val="Compact"/>
      </w:pPr>
      <w:r>
        <w:rPr>
          <w:bCs/>
          <w:b/>
        </w:rPr>
        <w:t xml:space="preserve">Main Transport (Ocean Freight):</w:t>
      </w:r>
    </w:p>
    <w:p>
      <w:pPr>
        <w:numPr>
          <w:ilvl w:val="1"/>
          <w:numId w:val="1014"/>
        </w:numPr>
        <w:pStyle w:val="Compact"/>
      </w:pPr>
      <w:r>
        <w:t xml:space="preserve">Product Weight: 0.0006 tonnes</w:t>
      </w:r>
    </w:p>
    <w:p>
      <w:pPr>
        <w:numPr>
          <w:ilvl w:val="1"/>
          <w:numId w:val="1014"/>
        </w:numPr>
        <w:pStyle w:val="Compact"/>
      </w:pPr>
      <w:r>
        <w:t xml:space="preserve">Distance: 15,000 km</w:t>
      </w:r>
    </w:p>
    <w:p>
      <w:pPr>
        <w:numPr>
          <w:ilvl w:val="1"/>
          <w:numId w:val="1014"/>
        </w:numPr>
        <w:pStyle w:val="Compact"/>
      </w:pPr>
      <w:r>
        <w:t xml:space="preserve">Emission Factor: 0.016 kgCO2e/tonne-km</w:t>
      </w:r>
    </w:p>
    <w:p>
      <w:pPr>
        <w:numPr>
          <w:ilvl w:val="1"/>
          <w:numId w:val="1014"/>
        </w:numPr>
        <w:pStyle w:val="Compact"/>
      </w:pPr>
      <w:r>
        <w:t xml:space="preserve">Calculated Emissions: 0.0006 tonnes * 15,000 km * 0.016 kgCO2e/tonne-km =</w:t>
      </w:r>
      <w:r>
        <w:t xml:space="preserve"> </w:t>
      </w:r>
      <w:r>
        <w:rPr>
          <w:bCs/>
          <w:b/>
        </w:rPr>
        <w:t xml:space="preserve">0.144 kgCO2e/unit</w:t>
      </w:r>
    </w:p>
    <w:p>
      <w:pPr>
        <w:numPr>
          <w:ilvl w:val="0"/>
          <w:numId w:val="1013"/>
        </w:numPr>
        <w:pStyle w:val="Compact"/>
      </w:pPr>
      <w:r>
        <w:rPr>
          <w:bCs/>
          <w:b/>
        </w:rPr>
        <w:t xml:space="preserve">Last-Mile Delivery (Road Freight):</w:t>
      </w:r>
    </w:p>
    <w:p>
      <w:pPr>
        <w:numPr>
          <w:ilvl w:val="1"/>
          <w:numId w:val="1015"/>
        </w:numPr>
        <w:pStyle w:val="Compact"/>
      </w:pPr>
      <w:r>
        <w:t xml:space="preserve">Product Weight (incl. packaging): 0.00075 tonnes</w:t>
      </w:r>
    </w:p>
    <w:p>
      <w:pPr>
        <w:numPr>
          <w:ilvl w:val="1"/>
          <w:numId w:val="1015"/>
        </w:numPr>
        <w:pStyle w:val="Compact"/>
      </w:pPr>
      <w:r>
        <w:t xml:space="preserve">Distance: 500 km</w:t>
      </w:r>
    </w:p>
    <w:p>
      <w:pPr>
        <w:numPr>
          <w:ilvl w:val="1"/>
          <w:numId w:val="1015"/>
        </w:numPr>
        <w:pStyle w:val="Compact"/>
      </w:pPr>
      <w:r>
        <w:t xml:space="preserve">Emission Factor: 0.15 kgCO2e/tonne-km (illustrative for LCV)</w:t>
      </w:r>
    </w:p>
    <w:p>
      <w:pPr>
        <w:numPr>
          <w:ilvl w:val="1"/>
          <w:numId w:val="1015"/>
        </w:numPr>
        <w:pStyle w:val="Compact"/>
      </w:pPr>
      <w:r>
        <w:t xml:space="preserve">Calculated Emissions: 0.00075 tonnes * 500 km * 0.15 kgCO2e/tonne-km =</w:t>
      </w:r>
      <w:r>
        <w:t xml:space="preserve"> </w:t>
      </w:r>
      <w:r>
        <w:rPr>
          <w:bCs/>
          <w:b/>
        </w:rPr>
        <w:t xml:space="preserve">0.056 kgCO2e/unit</w:t>
      </w:r>
    </w:p>
    <w:p>
      <w:pPr>
        <w:numPr>
          <w:ilvl w:val="0"/>
          <w:numId w:val="1013"/>
        </w:numPr>
        <w:pStyle w:val="Compact"/>
      </w:pPr>
      <w:r>
        <w:rPr>
          <w:bCs/>
          <w:b/>
        </w:rPr>
        <w:t xml:space="preserve">Total Transport Emissions:</w:t>
      </w:r>
      <w:r>
        <w:t xml:space="preserve"> </w:t>
      </w:r>
      <w:r>
        <w:t xml:space="preserve">0.144 + 0.056 =</w:t>
      </w:r>
      <w:r>
        <w:t xml:space="preserve"> </w:t>
      </w:r>
      <w:r>
        <w:rPr>
          <w:bCs/>
          <w:b/>
        </w:rPr>
        <w:t xml:space="preserve">0.200 kgCO2e/unit</w:t>
      </w:r>
    </w:p>
    <w:bookmarkEnd w:id="35"/>
    <w:bookmarkStart w:id="36" w:name="category-11-use-of-sold-products"/>
    <w:p>
      <w:pPr>
        <w:pStyle w:val="Heading4"/>
      </w:pPr>
      <w:r>
        <w:t xml:space="preserve">Category 11: Use of Sold Products</w:t>
      </w:r>
    </w:p>
    <w:p>
      <w:pPr>
        <w:pStyle w:val="FirstParagraph"/>
      </w:pPr>
      <w:r>
        <w:t xml:space="preserve">Emissions from the energy consumed by the idqhnoykgf device during its expected lifespan by the end-user.</w:t>
      </w:r>
    </w:p>
    <w:p>
      <w:pPr>
        <w:numPr>
          <w:ilvl w:val="0"/>
          <w:numId w:val="1016"/>
        </w:numPr>
        <w:pStyle w:val="Compact"/>
      </w:pPr>
      <w:r>
        <w:t xml:space="preserve">Product Lifespan: 5 years</w:t>
      </w:r>
    </w:p>
    <w:p>
      <w:pPr>
        <w:numPr>
          <w:ilvl w:val="0"/>
          <w:numId w:val="1016"/>
        </w:numPr>
        <w:pStyle w:val="Compact"/>
      </w:pPr>
      <w:r>
        <w:t xml:space="preserve">Annual Energy Consumption: 20 kWh/year</w:t>
      </w:r>
    </w:p>
    <w:p>
      <w:pPr>
        <w:numPr>
          <w:ilvl w:val="0"/>
          <w:numId w:val="1016"/>
        </w:numPr>
        <w:pStyle w:val="Compact"/>
      </w:pPr>
      <w:r>
        <w:t xml:space="preserve">Total Energy in Use: 5 years * 20 kWh/year = 100 kWh/unit</w:t>
      </w:r>
    </w:p>
    <w:p>
      <w:pPr>
        <w:numPr>
          <w:ilvl w:val="0"/>
          <w:numId w:val="1016"/>
        </w:numPr>
        <w:pStyle w:val="Compact"/>
      </w:pPr>
      <w:r>
        <w:t xml:space="preserve">Average User Electricity Grid Mix (Europe) EF: 0.35 kgCO2e/kWh (illustrative)</w:t>
      </w:r>
    </w:p>
    <w:p>
      <w:pPr>
        <w:numPr>
          <w:ilvl w:val="0"/>
          <w:numId w:val="1016"/>
        </w:numPr>
        <w:pStyle w:val="Compact"/>
      </w:pPr>
      <w:r>
        <w:rPr>
          <w:bCs/>
          <w:b/>
        </w:rPr>
        <w:t xml:space="preserve">Calculated Emissions (Use Phase):</w:t>
      </w:r>
      <w:r>
        <w:t xml:space="preserve"> </w:t>
      </w:r>
      <w:r>
        <w:t xml:space="preserve">100 kWh/unit * 0.35 kgCO2e/kWh =</w:t>
      </w:r>
      <w:r>
        <w:t xml:space="preserve"> </w:t>
      </w:r>
      <w:r>
        <w:rPr>
          <w:bCs/>
          <w:b/>
        </w:rPr>
        <w:t xml:space="preserve">35.000 kgCO2e/unit</w:t>
      </w:r>
    </w:p>
    <w:bookmarkEnd w:id="36"/>
    <w:bookmarkStart w:id="37" w:name="X9f66eef2700632e081dfe139021cb724ffcd2c5"/>
    <w:p>
      <w:pPr>
        <w:pStyle w:val="Heading4"/>
      </w:pPr>
      <w:r>
        <w:t xml:space="preserve">Category 12: End-of-Life Treatment of Sold Products</w:t>
      </w:r>
    </w:p>
    <w:p>
      <w:pPr>
        <w:pStyle w:val="FirstParagraph"/>
      </w:pPr>
      <w:r>
        <w:t xml:space="preserve">Emissions associated with the disposal of the product at the end of its life, considering recyclability and circular programs.</w:t>
      </w:r>
    </w:p>
    <w:p>
      <w:pPr>
        <w:numPr>
          <w:ilvl w:val="0"/>
          <w:numId w:val="1017"/>
        </w:numPr>
        <w:pStyle w:val="Compact"/>
      </w:pPr>
      <w:r>
        <w:t xml:space="preserve">Total Product Weight (incl. packaging): 0.75 kg</w:t>
      </w:r>
    </w:p>
    <w:p>
      <w:pPr>
        <w:numPr>
          <w:ilvl w:val="0"/>
          <w:numId w:val="1017"/>
        </w:numPr>
        <w:pStyle w:val="Compact"/>
      </w:pPr>
      <w:r>
        <w:t xml:space="preserve">Recyclability Percentage: 70%</w:t>
      </w:r>
    </w:p>
    <w:p>
      <w:pPr>
        <w:numPr>
          <w:ilvl w:val="0"/>
          <w:numId w:val="1017"/>
        </w:numPr>
        <w:pStyle w:val="Compact"/>
      </w:pPr>
      <w:r>
        <w:t xml:space="preserve">Weight to Landfill/Incineration (non-recycled): 0.75 kg * (1 - 0.70) = 0.225 kg</w:t>
      </w:r>
    </w:p>
    <w:p>
      <w:pPr>
        <w:numPr>
          <w:ilvl w:val="0"/>
          <w:numId w:val="1017"/>
        </w:numPr>
        <w:pStyle w:val="Compact"/>
      </w:pPr>
      <w:r>
        <w:t xml:space="preserve">EoL Emission Factor (for non-recycled mixed waste): 2.0 kgCO2e/kg (illustrative)</w:t>
      </w:r>
    </w:p>
    <w:p>
      <w:pPr>
        <w:numPr>
          <w:ilvl w:val="0"/>
          <w:numId w:val="1017"/>
        </w:numPr>
        <w:pStyle w:val="Compact"/>
      </w:pPr>
      <w:r>
        <w:rPr>
          <w:bCs/>
          <w:b/>
        </w:rPr>
        <w:t xml:space="preserve">Calculated Emissions (End-of-Life):</w:t>
      </w:r>
      <w:r>
        <w:t xml:space="preserve"> </w:t>
      </w:r>
      <w:r>
        <w:t xml:space="preserve">0.225 kg * 2.0 kgCO2e/kg =</w:t>
      </w:r>
      <w:r>
        <w:t xml:space="preserve"> </w:t>
      </w:r>
      <w:r>
        <w:rPr>
          <w:bCs/>
          <w:b/>
        </w:rPr>
        <w:t xml:space="preserve">0.450 kgCO2e/unit</w:t>
      </w:r>
    </w:p>
    <w:p>
      <w:pPr>
        <w:numPr>
          <w:ilvl w:val="0"/>
          <w:numId w:val="1017"/>
        </w:numPr>
        <w:pStyle w:val="Compact"/>
      </w:pPr>
      <w:r>
        <w:rPr>
          <w:iCs/>
          <w:i/>
        </w:rPr>
        <w:t xml:space="preserve">Note: The presence of a regional take-back program (lxjlmlunou) for 70% recyclability implies potential avoided emissions from material substitution and resource recovery, which would reduce the net EoL impact. This calculation focuses on the emissions of the non-recycled portion.</w:t>
      </w:r>
    </w:p>
    <w:bookmarkEnd w:id="37"/>
    <w:bookmarkEnd w:id="38"/>
    <w:bookmarkStart w:id="39" w:name="summary-of-emissions-by-scope-kgco2eunit"/>
    <w:p>
      <w:pPr>
        <w:pStyle w:val="Heading3"/>
      </w:pPr>
      <w:r>
        <w:t xml:space="preserve">Summary of Emissions by Scope (kgCO2e/unit)</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3.000</w:t>
            </w:r>
          </w:p>
        </w:tc>
      </w:tr>
      <w:tr>
        <w:tc>
          <w:tcPr>
            <w:vMerge w:val="restart"/>
          </w:tcPr>
          <w:p>
            <w:pPr>
              <w:pStyle w:val="Compact"/>
              <w:jc w:val="left"/>
            </w:pPr>
            <w:r>
              <w:t xml:space="preserve">Scope 3</w:t>
            </w:r>
          </w:p>
        </w:tc>
        <w:tc>
          <w:tcPr/>
          <w:p>
            <w:pPr>
              <w:pStyle w:val="Compact"/>
              <w:jc w:val="left"/>
            </w:pPr>
            <w:r>
              <w:t xml:space="preserve">Category 1: Purchased Goods and Services (Raw Materials)</w:t>
            </w:r>
          </w:p>
        </w:tc>
        <w:tc>
          <w:tcPr/>
          <w:p>
            <w:pPr>
              <w:pStyle w:val="Compact"/>
              <w:jc w:val="left"/>
            </w:pPr>
            <w:r>
              <w:t xml:space="preserve">9.248</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0.200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35.000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0.450</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47.898</w:t>
            </w:r>
          </w:p>
        </w:tc>
      </w:tr>
    </w:tbl>
    <w:p>
      <w:r>
        <w:pict>
          <v:rect style="width:0;height:1.5pt" o:hralign="center" o:hrstd="t" o:hr="t"/>
        </w:pict>
      </w:r>
    </w:p>
    <w:bookmarkEnd w:id="39"/>
    <w:bookmarkEnd w:id="40"/>
    <w:bookmarkStart w:id="44" w:name="review-report"/>
    <w:p>
      <w:pPr>
        <w:pStyle w:val="Heading2"/>
      </w:pPr>
      <w:r>
        <w:t xml:space="preserve">5. Review &amp; Report</w:t>
      </w:r>
    </w:p>
    <w:bookmarkStart w:id="41" w:name="emission-hotspots"/>
    <w:p>
      <w:pPr>
        <w:pStyle w:val="Heading3"/>
      </w:pPr>
      <w:r>
        <w:t xml:space="preserve">Emission Hotspots</w:t>
      </w:r>
    </w:p>
    <w:p>
      <w:pPr>
        <w:pStyle w:val="FirstParagraph"/>
      </w:pPr>
      <w:r>
        <w:t xml:space="preserve">The PCF analysis reveals the following key emission hotspots for idqhnoykgf:</w:t>
      </w:r>
    </w:p>
    <w:p>
      <w:pPr>
        <w:numPr>
          <w:ilvl w:val="0"/>
          <w:numId w:val="1018"/>
        </w:numPr>
        <w:pStyle w:val="Compact"/>
      </w:pPr>
      <w:r>
        <w:rPr>
          <w:bCs/>
          <w:b/>
        </w:rPr>
        <w:t xml:space="preserve">Use Phase (35.00 kgCO2e/unit - 73.07% of total):</w:t>
      </w:r>
      <w:r>
        <w:t xml:space="preserve"> </w:t>
      </w:r>
      <w:r>
        <w:t xml:space="preserve">This is by far the largest contributor to the product\'s carbon footprint. The energy consumption during the 5-year lifespan of the Smart Home Device, coupled with the average grid mix for electricity in the user\'s region (Europe Focused), dominates the overall impact.</w:t>
      </w:r>
    </w:p>
    <w:p>
      <w:pPr>
        <w:numPr>
          <w:ilvl w:val="0"/>
          <w:numId w:val="1018"/>
        </w:numPr>
        <w:pStyle w:val="Compact"/>
      </w:pPr>
      <w:r>
        <w:rPr>
          <w:bCs/>
          <w:b/>
        </w:rPr>
        <w:t xml:space="preserve">Purchased Goods and Services (Raw Materials) (9.248 kgCO2e/unit - 19.31% of total):</w:t>
      </w:r>
      <w:r>
        <w:t xml:space="preserve"> </w:t>
      </w:r>
      <w:r>
        <w:t xml:space="preserve">The manufacturing of key electronic components, particularly the Printed Circuit Board and Sensors &amp; Microchips, are significant contributors due to their energy-intensive production processes and complex material compositions. Aluminum production also contributes notably.</w:t>
      </w:r>
    </w:p>
    <w:p>
      <w:pPr>
        <w:numPr>
          <w:ilvl w:val="0"/>
          <w:numId w:val="1018"/>
        </w:numPr>
        <w:pStyle w:val="Compact"/>
      </w:pPr>
      <w:r>
        <w:rPr>
          <w:bCs/>
          <w:b/>
        </w:rPr>
        <w:t xml:space="preserve">Purchased Electricity (Production) (3.00 kgCO2e/unit - 6.26% of total):</w:t>
      </w:r>
      <w:r>
        <w:t xml:space="preserve"> </w:t>
      </w:r>
      <w:r>
        <w:t xml:space="preserve">While 50% renewable energy is used, the remaining non-renewable electricity consumed during manufacturing in China contributes a measurable portion.</w:t>
      </w:r>
    </w:p>
    <w:p>
      <w:pPr>
        <w:numPr>
          <w:ilvl w:val="0"/>
          <w:numId w:val="1018"/>
        </w:numPr>
        <w:pStyle w:val="Compact"/>
      </w:pPr>
      <w:r>
        <w:rPr>
          <w:bCs/>
          <w:b/>
        </w:rPr>
        <w:t xml:space="preserve">Transportation and End-of-Life:</w:t>
      </w:r>
      <w:r>
        <w:t xml:space="preserve"> </w:t>
      </w:r>
      <w:r>
        <w:t xml:space="preserve">These stages represent smaller, but still important, contributions to the total PCF.</w:t>
      </w:r>
    </w:p>
    <w:bookmarkEnd w:id="41"/>
    <w:bookmarkStart w:id="42" w:name="data-reliability"/>
    <w:p>
      <w:pPr>
        <w:pStyle w:val="Heading3"/>
      </w:pPr>
      <w:r>
        <w:t xml:space="preserve">Data Reliability</w:t>
      </w:r>
    </w:p>
    <w:p>
      <w:pPr>
        <w:pStyle w:val="FirstParagraph"/>
      </w:pPr>
      <w:r>
        <w:t xml:space="preserve">This report primarily relies on a combination of provided parameters (e.g., energy intensity, lifespan, recyclability) and secondary, industry-standard emission factors. While these factors are generally well-researched (e.g., from Ecoinvent/DEFRA principles), the precision can be enhanced with primary, product-specific data for all material inputs, manufacturing processes, and logistics at each step of the supply chain. The illustrative emission factors used for complex components (PCB, sensors) represent industry averages and could vary significantly with specific supplier data.</w:t>
      </w:r>
    </w:p>
    <w:bookmarkEnd w:id="42"/>
    <w:bookmarkStart w:id="43" w:name="recommendations-for-carbon-reduction"/>
    <w:p>
      <w:pPr>
        <w:pStyle w:val="Heading3"/>
      </w:pPr>
      <w:r>
        <w:t xml:space="preserve">Recommendations for Carbon Reduction</w:t>
      </w:r>
    </w:p>
    <w:p>
      <w:pPr>
        <w:pStyle w:val="FirstParagraph"/>
      </w:pPr>
      <w:r>
        <w:t xml:space="preserve">Based on the identified hotspots, iwxjhqpvlv should focus on these strategic areas to reduce the PCF of idqhnoykgf:</w:t>
      </w:r>
    </w:p>
    <w:p>
      <w:pPr>
        <w:numPr>
          <w:ilvl w:val="0"/>
          <w:numId w:val="1019"/>
        </w:numPr>
        <w:pStyle w:val="Compact"/>
      </w:pPr>
      <w:r>
        <w:rPr>
          <w:bCs/>
          <w:b/>
        </w:rPr>
        <w:t xml:space="preserve">Optimize Use Phase Efficiency:</w:t>
      </w:r>
    </w:p>
    <w:p>
      <w:pPr>
        <w:numPr>
          <w:ilvl w:val="1"/>
          <w:numId w:val="1020"/>
        </w:numPr>
        <w:pStyle w:val="Compact"/>
      </w:pPr>
      <w:r>
        <w:t xml:space="preserve">Develop more energy-efficient hardware and software for idqhnoykgf to drastically reduce annual electricity consumption.</w:t>
      </w:r>
    </w:p>
    <w:p>
      <w:pPr>
        <w:numPr>
          <w:ilvl w:val="1"/>
          <w:numId w:val="1020"/>
        </w:numPr>
        <w:pStyle w:val="Compact"/>
      </w:pPr>
      <w:r>
        <w:t xml:space="preserve">Explore integration with smart energy management systems that can optimize device usage patterns.</w:t>
      </w:r>
    </w:p>
    <w:p>
      <w:pPr>
        <w:numPr>
          <w:ilvl w:val="1"/>
          <w:numId w:val="1020"/>
        </w:numPr>
        <w:pStyle w:val="Compact"/>
      </w:pPr>
      <w:r>
        <w:t xml:space="preserve">Provide clear information to consumers on how to minimize energy consumption during the product\'s use phase.</w:t>
      </w:r>
    </w:p>
    <w:p>
      <w:pPr>
        <w:numPr>
          <w:ilvl w:val="0"/>
          <w:numId w:val="1019"/>
        </w:numPr>
        <w:pStyle w:val="Compact"/>
      </w:pPr>
      <w:r>
        <w:rPr>
          <w:bCs/>
          <w:b/>
        </w:rPr>
        <w:t xml:space="preserve">Decarbonize Supply Chain for Key Components:</w:t>
      </w:r>
    </w:p>
    <w:p>
      <w:pPr>
        <w:numPr>
          <w:ilvl w:val="1"/>
          <w:numId w:val="1021"/>
        </w:numPr>
        <w:pStyle w:val="Compact"/>
      </w:pPr>
      <w:r>
        <w:t xml:space="preserve">Engage with suppliers of Printed Circuit Boards, Sensors &amp; Microchips, and Aluminum to request primary emission data and encourage their transition to renewable energy sources and low-carbon manufacturing processes.</w:t>
      </w:r>
    </w:p>
    <w:p>
      <w:pPr>
        <w:numPr>
          <w:ilvl w:val="1"/>
          <w:numId w:val="1021"/>
        </w:numPr>
        <w:pStyle w:val="Compact"/>
      </w:pPr>
      <w:r>
        <w:t xml:space="preserve">Explore alternative, lower-carbon materials for the ABS plastic casing, or increase the use of recycled ABS.</w:t>
      </w:r>
    </w:p>
    <w:p>
      <w:pPr>
        <w:numPr>
          <w:ilvl w:val="0"/>
          <w:numId w:val="1019"/>
        </w:numPr>
        <w:pStyle w:val="Compact"/>
      </w:pPr>
      <w:r>
        <w:rPr>
          <w:bCs/>
          <w:b/>
        </w:rPr>
        <w:t xml:space="preserve">Increase Renewable Energy in Production:</w:t>
      </w:r>
    </w:p>
    <w:p>
      <w:pPr>
        <w:numPr>
          <w:ilvl w:val="1"/>
          <w:numId w:val="1022"/>
        </w:numPr>
        <w:pStyle w:val="Compact"/>
      </w:pPr>
      <w:r>
        <w:t xml:space="preserve">While 50% renewable energy is commendable, aim for 100% renewable electricity procurement at the manufacturing facility in China through Power Purchase Agreements (PPAs) or on-site renewable energy generation.</w:t>
      </w:r>
    </w:p>
    <w:p>
      <w:pPr>
        <w:numPr>
          <w:ilvl w:val="0"/>
          <w:numId w:val="1019"/>
        </w:numPr>
        <w:pStyle w:val="Compact"/>
      </w:pPr>
      <w:r>
        <w:rPr>
          <w:bCs/>
          <w:b/>
        </w:rPr>
        <w:t xml:space="preserve">Enhance Circularity and End-of-Life Management:</w:t>
      </w:r>
    </w:p>
    <w:p>
      <w:pPr>
        <w:numPr>
          <w:ilvl w:val="1"/>
          <w:numId w:val="1023"/>
        </w:numPr>
        <w:pStyle w:val="Compact"/>
      </w:pPr>
      <w:r>
        <w:t xml:space="preserve">Further develop and promote regional take-back programs to maximize product and component recovery, recycling, and reuse.</w:t>
      </w:r>
    </w:p>
    <w:p>
      <w:pPr>
        <w:numPr>
          <w:ilvl w:val="1"/>
          <w:numId w:val="1023"/>
        </w:numPr>
        <w:pStyle w:val="Compact"/>
      </w:pPr>
      <w:r>
        <w:t xml:space="preserve">Design for disassembly and repairability to extend product lifespan and facilitate high-quality recycling.</w:t>
      </w:r>
    </w:p>
    <w:p>
      <w:pPr>
        <w:numPr>
          <w:ilvl w:val="1"/>
          <w:numId w:val="1023"/>
        </w:numPr>
        <w:pStyle w:val="Compact"/>
      </w:pPr>
      <w:r>
        <w:t xml:space="preserve">Research and implement new recycling technologies for complex electronics to minimize waste going to landfill or incineration.</w:t>
      </w:r>
    </w:p>
    <w:p>
      <w:pPr>
        <w:numPr>
          <w:ilvl w:val="0"/>
          <w:numId w:val="1019"/>
        </w:numPr>
        <w:pStyle w:val="Compact"/>
      </w:pPr>
      <w:r>
        <w:rPr>
          <w:bCs/>
          <w:b/>
        </w:rPr>
        <w:t xml:space="preserve">Logistics Optimization:</w:t>
      </w:r>
    </w:p>
    <w:p>
      <w:pPr>
        <w:numPr>
          <w:ilvl w:val="1"/>
          <w:numId w:val="1024"/>
        </w:numPr>
        <w:pStyle w:val="Compact"/>
      </w:pPr>
      <w:r>
        <w:t xml:space="preserve">Continuously optimize shipping routes and modes, prioritizing lower-emission options like rail or electric vehicles for inland transport where feasible.</w:t>
      </w:r>
    </w:p>
    <w:p>
      <w:pPr>
        <w:numPr>
          <w:ilvl w:val="1"/>
          <w:numId w:val="1024"/>
        </w:numPr>
        <w:pStyle w:val="Compact"/>
      </w:pPr>
      <w:r>
        <w:t xml:space="preserve">Consolidate shipments to maximize load efficiency.</w:t>
      </w:r>
    </w:p>
    <w:p>
      <w:r>
        <w:pict>
          <v:rect style="width:0;height:1.5pt" o:hralign="center" o:hrstd="t" o:hr="t"/>
        </w:pict>
      </w:r>
    </w:p>
    <w:p>
      <w:pPr>
        <w:pStyle w:val="FirstParagraph"/>
      </w:pPr>
      <w:r>
        <w:t xml:space="preserve">Confidential - Internal Use Only | Page</w:t>
      </w:r>
      <w:r>
        <w:t xml:space="preserve"> </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idqhnoykgf (Smart Home Device)</dc:title>
  <dc:creator/>
  <dc:description>Detailed Product Carbon Footprint (PCF) analysis report for idqhnoykgf (Smart Home Device) by jqyuqqzxsl, Senior Sustainability Consultant at iwxjhqpvlv, adhering to GHG Protocol standards.</dc:description>
  <dc:language>en</dc:language>
  <cp:keywords/>
  <dcterms:created xsi:type="dcterms:W3CDTF">2026-07-15T12:52:27Z</dcterms:created>
  <dcterms:modified xsi:type="dcterms:W3CDTF">2026-07-15T12:52:27Z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