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hzyhgzpzfo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hzyhgzpzfo</w:t>
      </w:r>
    </w:p>
    <w:p>
      <w:pPr>
        <w:pStyle w:val="BodyText"/>
      </w:pPr>
      <w:r>
        <w:t xml:space="preserve">Name of the Company: izvxmyuund</w:t>
      </w:r>
    </w:p>
    <w:p>
      <w:pPr>
        <w:pStyle w:val="BodyText"/>
      </w:pPr>
      <w:r>
        <w:t xml:space="preserve">Protocol Data (Accounting Standard): GHG Protocol</w:t>
      </w:r>
    </w:p>
    <w:p>
      <w:pPr>
        <w:pStyle w:val="BodyText"/>
      </w:pPr>
      <w:r>
        <w:t xml:space="preserve">Senior Sustainability Consultant: wklnylyixj</w:t>
      </w:r>
    </w:p>
    <w:p>
      <w:pPr>
        <w:pStyle w:val="BodyText"/>
      </w:pPr>
      <w:r>
        <w:t xml:space="preserve">Disclaimer: This report is generated based on available data and industry standards. Actual values may vary depending on real-world conditions and further data availability. Illustrative data has been used where specific numerical inputs were not provided.</w:t>
      </w:r>
    </w:p>
    <w:bookmarkEnd w:id="20"/>
    <w:bookmarkStart w:id="21" w:name="X26a2fef56292ed7bff0730df7b8c6a22c0821d0"/>
    <w:p>
      <w:pPr>
        <w:pStyle w:val="Heading1"/>
      </w:pPr>
      <w:r>
        <w:t xml:space="preserve">Product Carbon Footprint Analysis for hzyhgzpzfo</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hzyhgzpzfo</w:t>
      </w:r>
      <w:r>
        <w:t xml:space="preserve">, manufactured by</w:t>
      </w:r>
      <w:r>
        <w:t xml:space="preserve"> </w:t>
      </w:r>
      <w:r>
        <w:rPr>
          <w:bCs/>
          <w:b/>
        </w:rPr>
        <w:t xml:space="preserve">izvxmyuund</w:t>
      </w:r>
      <w:r>
        <w:t xml:space="preserve">. The analysis was conducted by Senior Sustainability Consultant</w:t>
      </w:r>
      <w:r>
        <w:t xml:space="preserve"> </w:t>
      </w:r>
      <w:r>
        <w:rPr>
          <w:bCs/>
          <w:b/>
        </w:rPr>
        <w:t xml:space="preserve">wklnylyixj</w:t>
      </w:r>
      <w:r>
        <w:t xml:space="preserve">, adhering strictly to the Greenhouse Gas (GHG) Protocol standards, including the latest 2026 Land Sector and Removals (LSR) Update. The objective is to quantify the greenhouse gas emissions across the product\'s lifecycle, from raw material extraction to end-of-life, identify key emission hotspots, and provide a foundation for sustainability improvements.</w:t>
      </w:r>
    </w:p>
    <w:p>
      <w:r>
        <w:pict>
          <v:rect style="width:0;height:1.5pt" o:hralign="center" o:hrstd="t" o:hr="t"/>
        </w:pict>
      </w:r>
    </w:p>
    <w:bookmarkEnd w:id="22"/>
    <w:bookmarkStart w:id="29"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strictly adheres to the</w:t>
      </w:r>
      <w:r>
        <w:t xml:space="preserve"> </w:t>
      </w:r>
      <w:r>
        <w:rPr>
          <w:bCs/>
          <w:b/>
        </w:rPr>
        <w:t xml:space="preserve">GHG Protocol</w:t>
      </w:r>
      <w:r>
        <w:t xml:space="preserve">, the internationally recognized standard for greenhouse gas accounting and reporting. The GHG Protocol categorizes emissions into three scopes: Scope 1 (direct emissions), Scope 2 (indirect emissions from purchased energy), and Scope 3 (all other indirect emissions in the value chain).</w:t>
      </w:r>
    </w:p>
    <w:bookmarkEnd w:id="23"/>
    <w:bookmarkStart w:id="24" w:name="lsr-update-application"/>
    <w:p>
      <w:pPr>
        <w:pStyle w:val="Heading3"/>
      </w:pPr>
      <w:r>
        <w:t xml:space="preserve">1.2. 2026 LSR Update Application</w:t>
      </w:r>
    </w:p>
    <w:p>
      <w:pPr>
        <w:pStyle w:val="FirstParagraph"/>
      </w:pPr>
      <w:r>
        <w:t xml:space="preserve">In line with the</w:t>
      </w:r>
      <w:r>
        <w:t xml:space="preserve"> </w:t>
      </w:r>
      <w:r>
        <w:rPr>
          <w:bCs/>
          <w:b/>
        </w:rPr>
        <w:t xml:space="preserve">2026 LSR Update</w:t>
      </w:r>
      <w:r>
        <w:t xml:space="preserve">, this analysis acknowledges the importance of accounting for emissions and removals from land use and land management. The GHG Protocol\'s Land Sector and Removals (LSR) Standard, effective January 1, 2027, provides requirements and guidance for quantifying, reporting, and tracking land emissions and CO2 removals. While direct land-use change from the immediate product manufacturing is not a primary focus for \'factory_gate\' boundary, the upstream impacts of raw material extraction for the Detailed Bill of Materials (BOM) would require consideration of land-use emissions if primary data were available. The accompanying LSR Guidance, expected in Q2 2026, will provide further implementation support. For this analysis, potential upstream land-use impacts from raw material acquisition are considered within the Scope 3 emissions factors for purchased goods and services, based on available secondary data.</w:t>
      </w:r>
    </w:p>
    <w:bookmarkEnd w:id="24"/>
    <w:bookmarkStart w:id="25" w:name="functional-unit"/>
    <w:p>
      <w:pPr>
        <w:pStyle w:val="Heading3"/>
      </w:pPr>
      <w:r>
        <w:t xml:space="preserve">1.3. Functional Unit</w:t>
      </w:r>
    </w:p>
    <w:p>
      <w:pPr>
        <w:pStyle w:val="FirstParagraph"/>
      </w:pPr>
      <w:r>
        <w:t xml:space="preserve">The functional unit for this PCF analysis is defined as:</w:t>
      </w:r>
      <w:r>
        <w:t xml:space="preserve"> </w:t>
      </w:r>
      <w:r>
        <w:rPr>
          <w:bCs/>
          <w:b/>
        </w:rPr>
        <w:t xml:space="preserve">1.0 unit of hzyhgzpzfo</w:t>
      </w:r>
      <w:r>
        <w:t xml:space="preserve">.</w:t>
      </w:r>
    </w:p>
    <w:bookmarkEnd w:id="25"/>
    <w:bookmarkStart w:id="26" w:name="system-boundary"/>
    <w:p>
      <w:pPr>
        <w:pStyle w:val="Heading3"/>
      </w:pPr>
      <w:r>
        <w:t xml:space="preserve">1.4. System Boundary</w:t>
      </w:r>
    </w:p>
    <w:p>
      <w:pPr>
        <w:pStyle w:val="FirstParagraph"/>
      </w:pPr>
      <w:r>
        <w:t xml:space="preserve">The system boundary for this analysis is set as</w:t>
      </w:r>
      <w:r>
        <w:t xml:space="preserve"> </w:t>
      </w:r>
      <w:r>
        <w:rPr>
          <w:bCs/>
          <w:b/>
        </w:rPr>
        <w:t xml:space="preserve">factory_gate</w:t>
      </w:r>
      <w:r>
        <w:t xml:space="preserve">, encompassing all processes from raw material acquisition to the point where the finished product leaves the manufacturing facility. This includes upstream emissions from material production and transport, and emissions from the manufacturing processes themselves. Downstream impacts (use phase and end-of-life) are also analyzed as part of the overall product lifecycle.</w:t>
      </w:r>
    </w:p>
    <w:bookmarkEnd w:id="26"/>
    <w:bookmarkStart w:id="27" w:name="geographic-scope"/>
    <w:p>
      <w:pPr>
        <w:pStyle w:val="Heading3"/>
      </w:pPr>
      <w:r>
        <w:t xml:space="preserve">1.5.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upstream processes)</w:t>
      </w:r>
    </w:p>
    <w:bookmarkEnd w:id="27"/>
    <w:bookmarkStart w:id="28" w:name="allocation"/>
    <w:p>
      <w:pPr>
        <w:pStyle w:val="Heading3"/>
      </w:pPr>
      <w:r>
        <w:t xml:space="preserve">1.6. Allocation</w:t>
      </w:r>
    </w:p>
    <w:p>
      <w:pPr>
        <w:pStyle w:val="FirstParagraph"/>
      </w:pPr>
      <w:r>
        <w:t xml:space="preserve">Where multi-output processes occur, emissions are allocated using generally accepted GHG Protocol principles, prioritizing physical allocation (e.g., mass-based) where applicable, and economic allocation if physical relationships are not suitable. For this report, material-specific emission factors inherently account for allocation within their cradle-to-gate boundaries.</w:t>
      </w:r>
    </w:p>
    <w:p>
      <w:r>
        <w:pict>
          <v:rect style="width:0;height:1.5pt" o:hralign="center" o:hrstd="t" o:hr="t"/>
        </w:pict>
      </w:r>
    </w:p>
    <w:bookmarkEnd w:id="28"/>
    <w:bookmarkEnd w:id="29"/>
    <w:bookmarkStart w:id="36"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hzyhgzpzfo</w:t>
      </w:r>
      <w:r>
        <w:t xml:space="preserve"> </w:t>
      </w:r>
      <w:r>
        <w:t xml:space="preserve">has been mapped into several stages, and data has been collected (or illustratively represented) for each stage to enable a comprehensive emission calculation.</w:t>
      </w:r>
    </w:p>
    <w:bookmarkStart w:id="31" w:name="X00276586af3598f1fc7866665f5f89534000ead"/>
    <w:p>
      <w:pPr>
        <w:pStyle w:val="Heading3"/>
      </w:pPr>
      <w:r>
        <w:t xml:space="preserve">2.1. Materials Acquisition &amp; Pre-processing (Scope 3, Category 1: Purchased Goods and Services)</w:t>
      </w:r>
    </w:p>
    <w:p>
      <w:pPr>
        <w:pStyle w:val="FirstParagraph"/>
      </w:pPr>
      <w:r>
        <w:t xml:space="preserve">The material inputs are based on the provided Detailed Bill of Materials (BOM). For the purpose of this illustrative report, the parameter</w:t>
      </w:r>
      <w:r>
        <w:t xml:space="preserve"> </w:t>
      </w:r>
      <w:r>
        <w:rPr>
          <w:rStyle w:val="VerbatimChar"/>
        </w:rPr>
        <w:t xml:space="preserve">vdxqpvde</w:t>
      </w:r>
      <w:r>
        <w:t xml:space="preserve"> </w:t>
      </w:r>
      <w:r>
        <w:t xml:space="preserve">is represented by the following example data. Actual calculations would utilize the specific numerical values from the real BOM. Emission factors used are industry-standard, typically from databases like Ecoinvent or DEFRA, which cover upstream extraction, processing, and manufacturing impacts.</w:t>
      </w:r>
    </w:p>
    <w:bookmarkStart w:id="30" w:name="X52acfe9d6010b128d467ba7d45d5042864f91b4"/>
    <w:p>
      <w:pPr>
        <w:pStyle w:val="Heading4"/>
      </w:pPr>
      <w:r>
        <w:t xml:space="preserve">Illustrative Detailed Bill of Materials (BOM) for hzyhgzpzfo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Impact:</w:t>
            </w:r>
          </w:p>
        </w:tc>
        <w:tc>
          <w:tcPr/>
          <w:p>
            <w:pPr>
              <w:pStyle w:val="Compact"/>
              <w:jc w:val="left"/>
            </w:pPr>
            <w:r>
              <w:rPr>
                <w:bCs/>
                <w:b/>
              </w:rPr>
              <w:t xml:space="preserve">6.585 kg CO2e</w:t>
            </w:r>
          </w:p>
        </w:tc>
      </w:tr>
    </w:tbl>
    <w:p>
      <w:pPr>
        <w:pStyle w:val="BodyText"/>
      </w:pPr>
      <w:r>
        <w:rPr>
          <w:iCs/>
          <w:i/>
        </w:rPr>
        <w:t xml:space="preserve">Note: The "Total Carbon" column in the table above is pre-calculated from "Qty * Emission Factor" and reflects the provided BOM format. This data is illustrative, representing the structure of the input</w:t>
      </w:r>
      <w:r>
        <w:rPr>
          <w:iCs/>
          <w:i/>
        </w:rPr>
        <w:t xml:space="preserve"> </w:t>
      </w:r>
      <w:r>
        <w:rPr>
          <w:rStyle w:val="VerbatimChar"/>
          <w:iCs/>
          <w:i/>
        </w:rPr>
        <w:t xml:space="preserve">vdxqpvde</w:t>
      </w:r>
      <w:r>
        <w:rPr>
          <w:iCs/>
          <w:i/>
        </w:rPr>
        <w:t xml:space="preserve">.</w:t>
      </w:r>
    </w:p>
    <w:bookmarkEnd w:id="30"/>
    <w:bookmarkEnd w:id="31"/>
    <w:bookmarkStart w:id="32" w:name="Xe1878f89ba48ce3921dd71a5233c1fd113a1855"/>
    <w:p>
      <w:pPr>
        <w:pStyle w:val="Heading3"/>
      </w:pPr>
      <w:r>
        <w:t xml:space="preserve">2.2. Manufacturing (Scope 2: Purchased Electricity; Scope 1: Direct Manufacturing Emissions)</w:t>
      </w:r>
    </w:p>
    <w:p>
      <w:pPr>
        <w:pStyle w:val="FirstParagraph"/>
      </w:pPr>
      <w:r>
        <w:t xml:space="preserve">The manufacturing process takes place in China. Energy consumption and source mix are critical factors.</w:t>
      </w:r>
    </w:p>
    <w:p>
      <w:pPr>
        <w:numPr>
          <w:ilvl w:val="0"/>
          <w:numId w:val="1002"/>
        </w:numPr>
        <w:pStyle w:val="Compact"/>
      </w:pPr>
      <w:r>
        <w:rPr>
          <w:bCs/>
          <w:b/>
        </w:rPr>
        <w:t xml:space="preserve">Energy Intensity (kWh/unit):</w:t>
      </w:r>
      <w:r>
        <w:t xml:space="preserve"> </w:t>
      </w:r>
      <w:r>
        <w:rPr>
          <w:rStyle w:val="VerbatimChar"/>
        </w:rPr>
        <w:t xml:space="preserve">qrzglgyqkt</w:t>
      </w:r>
      <w:r>
        <w:t xml:space="preserve"> </w:t>
      </w:r>
      <w:r>
        <w:t xml:space="preserve">(Illustrative: 15 kWh/unit)</w:t>
      </w:r>
    </w:p>
    <w:p>
      <w:pPr>
        <w:numPr>
          <w:ilvl w:val="0"/>
          <w:numId w:val="1002"/>
        </w:numPr>
        <w:pStyle w:val="Compact"/>
      </w:pPr>
      <w:r>
        <w:rPr>
          <w:bCs/>
          <w:b/>
        </w:rPr>
        <w:t xml:space="preserve">Renewable Energy Usage:</w:t>
      </w:r>
      <w:r>
        <w:t xml:space="preserve"> </w:t>
      </w:r>
      <w:r>
        <w:rPr>
          <w:rStyle w:val="VerbatimChar"/>
        </w:rPr>
        <w:t xml:space="preserve">lrifuipshy</w:t>
      </w:r>
      <w:r>
        <w:t xml:space="preserve"> </w:t>
      </w:r>
      <w:r>
        <w:t xml:space="preserve">(Illustrative: 70% of total electricity)</w:t>
      </w:r>
    </w:p>
    <w:p>
      <w:pPr>
        <w:pStyle w:val="FirstParagraph"/>
      </w:pPr>
      <w:r>
        <w:t xml:space="preserve">For the remaining 30% of non-renewable electricity, a country-specific grid emission factor for China would be applied (e.g., ~0.6-0.8 kg CO2e/kWh, illustrative). Scope 1 direct manufacturing emissions (e.g., on-site fuel combustion not for electricity, fugitive emissions) are assumed to be minimal or covered by general energy consumption for the factory_gate boundary for the product, unless specific primary data indicates otherwise.</w:t>
      </w:r>
    </w:p>
    <w:bookmarkEnd w:id="32"/>
    <w:bookmarkStart w:id="33" w:name="X35bfb788fe6dae129ee94de14ffa554fb6dc01e"/>
    <w:p>
      <w:pPr>
        <w:pStyle w:val="Heading3"/>
      </w:pPr>
      <w:r>
        <w:t xml:space="preserve">2.3. Transport &amp; Distribution (Scope 3, Categories 4 &amp; 9: Upstream &amp; Downstream Transportation)</w:t>
      </w:r>
    </w:p>
    <w:p>
      <w:pPr>
        <w:pStyle w:val="FirstParagraph"/>
      </w:pPr>
      <w:r>
        <w:t xml:space="preserve">Logistics play a significant role in the overall footprint.</w:t>
      </w:r>
    </w:p>
    <w:p>
      <w:pPr>
        <w:numPr>
          <w:ilvl w:val="0"/>
          <w:numId w:val="1003"/>
        </w:numPr>
        <w:pStyle w:val="Compact"/>
      </w:pPr>
      <w:r>
        <w:rPr>
          <w:bCs/>
          <w:b/>
        </w:rPr>
        <w:t xml:space="preserve">Upstream Transport Mode:</w:t>
      </w:r>
      <w:r>
        <w:t xml:space="preserve"> </w:t>
      </w:r>
      <w:r>
        <w:rPr>
          <w:rStyle w:val="VerbatimChar"/>
        </w:rPr>
        <w:t xml:space="preserve">Select Mode</w:t>
      </w:r>
      <w:r>
        <w:t xml:space="preserve"> </w:t>
      </w:r>
      <w:r>
        <w:t xml:space="preserve">(Illustrative: Road - Heavy Goods Vehicle (HGV) &gt; 32t, Euro VI standard)</w:t>
      </w:r>
    </w:p>
    <w:p>
      <w:pPr>
        <w:numPr>
          <w:ilvl w:val="0"/>
          <w:numId w:val="1003"/>
        </w:numPr>
        <w:pStyle w:val="Compact"/>
      </w:pPr>
      <w:r>
        <w:rPr>
          <w:bCs/>
          <w:b/>
        </w:rPr>
        <w:t xml:space="preserve">Upstream Transport Distance:</w:t>
      </w:r>
      <w:r>
        <w:t xml:space="preserve"> </w:t>
      </w:r>
      <w:r>
        <w:rPr>
          <w:rStyle w:val="VerbatimChar"/>
        </w:rPr>
        <w:t xml:space="preserve">ynpwfdgjrh</w:t>
      </w:r>
      <w:r>
        <w:t xml:space="preserve"> </w:t>
      </w:r>
      <w:r>
        <w:t xml:space="preserve">(Illustrative: 1500 km from European suppliers to China factory)</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w:t>
      </w:r>
      <w:r>
        <w:t xml:space="preserve">(Illustrative: Parcel Service - Van)</w:t>
      </w:r>
    </w:p>
    <w:p>
      <w:pPr>
        <w:numPr>
          <w:ilvl w:val="0"/>
          <w:numId w:val="1003"/>
        </w:numPr>
        <w:pStyle w:val="Compact"/>
      </w:pPr>
      <w:r>
        <w:rPr>
          <w:bCs/>
          <w:b/>
        </w:rPr>
        <w:t xml:space="preserve">Downstream Transport Distance:</w:t>
      </w:r>
      <w:r>
        <w:t xml:space="preserve"> </w:t>
      </w:r>
      <w:r>
        <w:t xml:space="preserve">(Illustrative: 500 km from China factory to final customer within Europe, covering last-mile)</w:t>
      </w:r>
    </w:p>
    <w:p>
      <w:pPr>
        <w:pStyle w:val="FirstParagraph"/>
      </w:pPr>
      <w:r>
        <w:t xml:space="preserve">Emission factors for transport are sourced from databases like DEFRA, which provide factors for various vehicle types and fuel efficiencies per tonne-kilometer or vehicle-kilometer.</w:t>
      </w:r>
    </w:p>
    <w:bookmarkEnd w:id="33"/>
    <w:bookmarkStart w:id="34" w:name="Xc8d47610e025d3b1fe367d676386ecee874efa3"/>
    <w:p>
      <w:pPr>
        <w:pStyle w:val="Heading3"/>
      </w:pPr>
      <w:r>
        <w:t xml:space="preserve">2.4. Use Phase (Scope 3, Category 11: Use of Sold Products)</w:t>
      </w:r>
    </w:p>
    <w:p>
      <w:pPr>
        <w:pStyle w:val="FirstParagraph"/>
      </w:pPr>
      <w:r>
        <w:t xml:space="preserve">The emissions during the product\'s use phase are based on its lifespan and energy consumption.</w:t>
      </w:r>
    </w:p>
    <w:p>
      <w:pPr>
        <w:numPr>
          <w:ilvl w:val="0"/>
          <w:numId w:val="1004"/>
        </w:numPr>
        <w:pStyle w:val="Compact"/>
      </w:pPr>
      <w:r>
        <w:rPr>
          <w:bCs/>
          <w:b/>
        </w:rPr>
        <w:t xml:space="preserve">Product Lifespan:</w:t>
      </w:r>
      <w:r>
        <w:t xml:space="preserve"> </w:t>
      </w:r>
      <w:r>
        <w:rPr>
          <w:rStyle w:val="VerbatimChar"/>
        </w:rPr>
        <w:t xml:space="preserve">xtsukjhnvi</w:t>
      </w:r>
      <w:r>
        <w:t xml:space="preserve"> </w:t>
      </w:r>
      <w:r>
        <w:t xml:space="preserve">(Illustrative: 5 years)</w:t>
      </w:r>
    </w:p>
    <w:p>
      <w:pPr>
        <w:numPr>
          <w:ilvl w:val="0"/>
          <w:numId w:val="1004"/>
        </w:numPr>
        <w:pStyle w:val="Compact"/>
      </w:pPr>
      <w:r>
        <w:rPr>
          <w:bCs/>
          <w:b/>
        </w:rPr>
        <w:t xml:space="preserve">Energy Consumption in Use:</w:t>
      </w:r>
      <w:r>
        <w:t xml:space="preserve"> </w:t>
      </w:r>
      <w:r>
        <w:rPr>
          <w:rStyle w:val="VerbatimChar"/>
        </w:rPr>
        <w:t xml:space="preserve">glumyzfkgm</w:t>
      </w:r>
      <w:r>
        <w:t xml:space="preserve"> </w:t>
      </w:r>
      <w:r>
        <w:t xml:space="preserve">(Illustrative: 10 kWh/year)</w:t>
      </w:r>
    </w:p>
    <w:p>
      <w:pPr>
        <w:pStyle w:val="FirstParagraph"/>
      </w:pPr>
      <w:r>
        <w:t xml:space="preserve">An average grid emission factor for electricity consumption in the user\'s region (assumed to be Europe for typical market) would be applied to calculate these emissions.</w:t>
      </w:r>
    </w:p>
    <w:bookmarkEnd w:id="34"/>
    <w:bookmarkStart w:id="35" w:name="X9982929b618de862c11111658ccce8db3e98553"/>
    <w:p>
      <w:pPr>
        <w:pStyle w:val="Heading3"/>
      </w:pPr>
      <w:r>
        <w:t xml:space="preserve">2.5. End-of-Life (EoL) (Scope 3, Category 12: End-of-Life Treatment of Sold Products)</w:t>
      </w:r>
    </w:p>
    <w:p>
      <w:pPr>
        <w:pStyle w:val="FirstParagraph"/>
      </w:pPr>
      <w:r>
        <w:t xml:space="preserve">Circular economy impacts are incorporated through EoL scenarios.</w:t>
      </w:r>
    </w:p>
    <w:p>
      <w:pPr>
        <w:numPr>
          <w:ilvl w:val="0"/>
          <w:numId w:val="1005"/>
        </w:numPr>
        <w:pStyle w:val="Compact"/>
      </w:pPr>
      <w:r>
        <w:rPr>
          <w:bCs/>
          <w:b/>
        </w:rPr>
        <w:t xml:space="preserve">Recyclability Percentage:</w:t>
      </w:r>
      <w:r>
        <w:t xml:space="preserve"> </w:t>
      </w:r>
      <w:r>
        <w:rPr>
          <w:rStyle w:val="VerbatimChar"/>
        </w:rPr>
        <w:t xml:space="preserve">uuerrjinzo</w:t>
      </w:r>
      <w:r>
        <w:t xml:space="preserve"> </w:t>
      </w:r>
      <w:r>
        <w:t xml:space="preserve">(Illustrative: 80%)</w:t>
      </w:r>
    </w:p>
    <w:p>
      <w:pPr>
        <w:numPr>
          <w:ilvl w:val="0"/>
          <w:numId w:val="1005"/>
        </w:numPr>
        <w:pStyle w:val="Compact"/>
      </w:pPr>
      <w:r>
        <w:rPr>
          <w:bCs/>
          <w:b/>
        </w:rPr>
        <w:t xml:space="preserve">Circular/Take-back Programs:</w:t>
      </w:r>
      <w:r>
        <w:t xml:space="preserve"> </w:t>
      </w:r>
      <w:r>
        <w:rPr>
          <w:rStyle w:val="VerbatimChar"/>
        </w:rPr>
        <w:t xml:space="preserve">qtkdhfwkhz</w:t>
      </w:r>
      <w:r>
        <w:t xml:space="preserve"> </w:t>
      </w:r>
      <w:r>
        <w:t xml:space="preserve">(Illustrative: Yes, company-led take-back program for key components)</w:t>
      </w:r>
    </w:p>
    <w:p>
      <w:pPr>
        <w:pStyle w:val="FirstParagraph"/>
      </w:pPr>
      <w:r>
        <w:t xml:space="preserve">Emissions from landfilling the non-recycled portion and the benefits (avoided emissions) from recycling and take-back programs would be accounted for.</w:t>
      </w:r>
    </w:p>
    <w:p>
      <w:r>
        <w:pict>
          <v:rect style="width:0;height:1.5pt" o:hralign="center" o:hrstd="t" o:hr="t"/>
        </w:pict>
      </w:r>
    </w:p>
    <w:bookmarkEnd w:id="35"/>
    <w:bookmarkEnd w:id="36"/>
    <w:bookmarkStart w:id="46" w:name="X84905863ad58caa81b83ef66a0ea955e601672a"/>
    <w:p>
      <w:pPr>
        <w:pStyle w:val="Heading2"/>
      </w:pPr>
      <w:r>
        <w:t xml:space="preserve">4. Emission Calculations (Activity * Emission Factor = CO2e)</w:t>
      </w:r>
    </w:p>
    <w:p>
      <w:pPr>
        <w:pStyle w:val="FirstParagraph"/>
      </w:pPr>
      <w:r>
        <w:t xml:space="preserve">The calculations are performed by multiplying activity data (e.g., kg of material, kWh of energy, km of transport) by relevant emission factors. All emissions are reported in CO2e (carbon dioxide equivalent) to account for all seven major greenhouse gases as defined by the GHG Protocol.</w:t>
      </w:r>
    </w:p>
    <w:bookmarkStart w:id="37" w:name="scope-1-emissions-direct-emissions"/>
    <w:p>
      <w:pPr>
        <w:pStyle w:val="Heading3"/>
      </w:pPr>
      <w:r>
        <w:t xml:space="preserve">4.1. Scope 1 Emissions (Direct Emissions)</w:t>
      </w:r>
    </w:p>
    <w:p>
      <w:pPr>
        <w:pStyle w:val="FirstParagraph"/>
      </w:pPr>
      <w:r>
        <w:t xml:space="preserve">Given the \'factory_gate\' system boundary and the nature of product manufacturing, direct emissions from sources owned or controlled by izvxmyuund at the production facility are considered for the specific manufacturing of hzyhgzpzfo. This typically includes direct fuel combustion for manufacturing processes (not covered by purchased electricity) or fugitive emissions. For this analysis, and without specific process-level primary data, direct on-site fossil fuel combustion specific to product processing is assumed to be negligible or integrated into electricity consumption if the site uses a combined heat and power plant where emissions are allocated to electricity and heat.</w:t>
      </w:r>
    </w:p>
    <w:p>
      <w:pPr>
        <w:pStyle w:val="BodyText"/>
      </w:pPr>
      <w:r>
        <w:rPr>
          <w:bCs/>
          <w:b/>
        </w:rPr>
        <w:t xml:space="preserve">Illustrative Scope 1 Total:</w:t>
      </w:r>
      <w:r>
        <w:t xml:space="preserve"> </w:t>
      </w:r>
      <w:r>
        <w:t xml:space="preserve">0.0 kg CO2e</w:t>
      </w:r>
    </w:p>
    <w:bookmarkEnd w:id="37"/>
    <w:bookmarkStart w:id="38" w:name="scope-2-emissions-purchased-electricity"/>
    <w:p>
      <w:pPr>
        <w:pStyle w:val="Heading3"/>
      </w:pPr>
      <w:r>
        <w:t xml:space="preserve">4.2. Scope 2 Emissions (Purchased Electricity)</w:t>
      </w:r>
    </w:p>
    <w:p>
      <w:pPr>
        <w:pStyle w:val="FirstParagraph"/>
      </w:pPr>
      <w:r>
        <w:t xml:space="preserve">Scope 2 emissions account for indirect GHG emissions from the consumption of purchased electricity, heat, or steam.</w:t>
      </w:r>
    </w:p>
    <w:p>
      <w:pPr>
        <w:numPr>
          <w:ilvl w:val="0"/>
          <w:numId w:val="1006"/>
        </w:numPr>
        <w:pStyle w:val="Compact"/>
      </w:pPr>
      <w:r>
        <w:t xml:space="preserve">Total Energy Intensity: 15 kWh/unit</w:t>
      </w:r>
    </w:p>
    <w:p>
      <w:pPr>
        <w:numPr>
          <w:ilvl w:val="0"/>
          <w:numId w:val="1006"/>
        </w:numPr>
        <w:pStyle w:val="Compact"/>
      </w:pPr>
      <w:r>
        <w:t xml:space="preserve">Renewable Energy Usage: 70%</w:t>
      </w:r>
    </w:p>
    <w:p>
      <w:pPr>
        <w:numPr>
          <w:ilvl w:val="0"/>
          <w:numId w:val="1006"/>
        </w:numPr>
        <w:pStyle w:val="Compact"/>
      </w:pPr>
      <w:r>
        <w:t xml:space="preserve">Non-Renewable Energy: 15 kWh/unit * (1 - 0.70) = 4.5 kWh/unit</w:t>
      </w:r>
    </w:p>
    <w:p>
      <w:pPr>
        <w:numPr>
          <w:ilvl w:val="0"/>
          <w:numId w:val="1006"/>
        </w:numPr>
        <w:pStyle w:val="Compact"/>
      </w:pPr>
      <w:r>
        <w:t xml:space="preserve">Illustrative China Grid Emission Factor: 0.7 kg CO2e/kWh (approximation for average grid mix in China)</w:t>
      </w:r>
    </w:p>
    <w:p>
      <w:pPr>
        <w:numPr>
          <w:ilvl w:val="0"/>
          <w:numId w:val="1006"/>
        </w:numPr>
        <w:pStyle w:val="Compact"/>
      </w:pPr>
      <w:r>
        <w:rPr>
          <w:bCs/>
          <w:b/>
        </w:rPr>
        <w:t xml:space="preserve">Calculated Scope 2 Emissions:</w:t>
      </w:r>
      <w:r>
        <w:t xml:space="preserve"> </w:t>
      </w:r>
      <w:r>
        <w:t xml:space="preserve">4.5 kWh/unit * 0.7 kg CO2e/kWh =</w:t>
      </w:r>
      <w:r>
        <w:t xml:space="preserve"> </w:t>
      </w:r>
      <w:r>
        <w:rPr>
          <w:bCs/>
          <w:b/>
        </w:rPr>
        <w:t xml:space="preserve">3.15 kg CO2e/unit</w:t>
      </w:r>
    </w:p>
    <w:bookmarkEnd w:id="38"/>
    <w:bookmarkStart w:id="44" w:name="scope-3-emissions-value-chain-emissions"/>
    <w:p>
      <w:pPr>
        <w:pStyle w:val="Heading3"/>
      </w:pPr>
      <w:r>
        <w:t xml:space="preserve">4.3. Scope 3 Emissions (Value Chain Emissions)</w:t>
      </w:r>
    </w:p>
    <w:p>
      <w:pPr>
        <w:pStyle w:val="FirstParagraph"/>
      </w:pPr>
      <w:r>
        <w:t xml:space="preserve">Scope 3 emissions are the most extensive, covering all other indirect emissions in the value chain. We aim for at least 95% coverage as per 2026 requirements.</w:t>
      </w:r>
    </w:p>
    <w:bookmarkStart w:id="39" w:name="Xab9729a0caae076ca89f2f71668734f92723cf2"/>
    <w:p>
      <w:pPr>
        <w:pStyle w:val="Heading4"/>
      </w:pPr>
      <w:r>
        <w:t xml:space="preserve">Category 1: Purchased Goods and Services (Materials)</w:t>
      </w:r>
    </w:p>
    <w:p>
      <w:pPr>
        <w:pStyle w:val="FirstParagraph"/>
      </w:pPr>
      <w:r>
        <w:t xml:space="preserve">Based on the illustrative BOM:</w:t>
      </w:r>
      <w:r>
        <w:t xml:space="preserve"> </w:t>
      </w:r>
      <w:r>
        <w:rPr>
          <w:bCs/>
          <w:b/>
        </w:rPr>
        <w:t xml:space="preserve">6.585 kg CO2e/unit</w:t>
      </w:r>
      <w:r>
        <w:t xml:space="preserve"> </w:t>
      </w:r>
      <w:r>
        <w:t xml:space="preserve">(from sum of \'Total Carbon\' in BOM table).</w:t>
      </w:r>
    </w:p>
    <w:bookmarkEnd w:id="39"/>
    <w:bookmarkStart w:id="40" w:name="X6669a43143349c25ec93e775eebde43de53a73c"/>
    <w:p>
      <w:pPr>
        <w:pStyle w:val="Heading4"/>
      </w:pPr>
      <w:r>
        <w:t xml:space="preserve">Category 4: Upstream Transportation and Distribution</w:t>
      </w:r>
    </w:p>
    <w:p>
      <w:pPr>
        <w:numPr>
          <w:ilvl w:val="0"/>
          <w:numId w:val="1007"/>
        </w:numPr>
        <w:pStyle w:val="Compact"/>
      </w:pPr>
      <w:r>
        <w:t xml:space="preserve">Illustrative total material mass: 0.5 + 0.3 + 0.1 + 0.05 (unit assumed as kg) + 0.2 = 1.15 kg/unit</w:t>
      </w:r>
    </w:p>
    <w:p>
      <w:pPr>
        <w:numPr>
          <w:ilvl w:val="0"/>
          <w:numId w:val="1007"/>
        </w:numPr>
        <w:pStyle w:val="Compact"/>
      </w:pPr>
      <w:r>
        <w:t xml:space="preserve">Illustrative Transport Mode: HGV &gt; 32t, Euro VI</w:t>
      </w:r>
    </w:p>
    <w:p>
      <w:pPr>
        <w:numPr>
          <w:ilvl w:val="0"/>
          <w:numId w:val="1007"/>
        </w:numPr>
        <w:pStyle w:val="Compact"/>
      </w:pPr>
      <w:r>
        <w:t xml:space="preserve">Illustrative Upstream Distance: 1500 km</w:t>
      </w:r>
    </w:p>
    <w:p>
      <w:pPr>
        <w:numPr>
          <w:ilvl w:val="0"/>
          <w:numId w:val="1007"/>
        </w:numPr>
        <w:pStyle w:val="Compact"/>
      </w:pPr>
      <w:r>
        <w:t xml:space="preserve">Illustrative Emission Factor (HGV &gt; 32t, Euro VI, average load, per tonne-km): ~0.02 kg CO2e/tonne-km (DEFRA approximation)</w:t>
      </w:r>
    </w:p>
    <w:p>
      <w:pPr>
        <w:numPr>
          <w:ilvl w:val="0"/>
          <w:numId w:val="1007"/>
        </w:numPr>
        <w:pStyle w:val="Compact"/>
      </w:pPr>
      <w:r>
        <w:rPr>
          <w:bCs/>
          <w:b/>
        </w:rPr>
        <w:t xml:space="preserve">Calculated Upstream Transport:</w:t>
      </w:r>
      <w:r>
        <w:t xml:space="preserve"> </w:t>
      </w:r>
      <w:r>
        <w:t xml:space="preserve">1.15 kg/unit * (1 tonne / 1000 kg) * 1500 km * 0.02 kg CO2e/tonne-km =</w:t>
      </w:r>
      <w:r>
        <w:t xml:space="preserve"> </w:t>
      </w:r>
      <w:r>
        <w:rPr>
          <w:bCs/>
          <w:b/>
        </w:rPr>
        <w:t xml:space="preserve">0.0345 kg CO2e/unit</w:t>
      </w:r>
    </w:p>
    <w:bookmarkEnd w:id="40"/>
    <w:bookmarkStart w:id="41" w:name="Xe6a609cc71639c4bb5b5bcd247c776c9d89fa33"/>
    <w:p>
      <w:pPr>
        <w:pStyle w:val="Heading4"/>
      </w:pPr>
      <w:r>
        <w:t xml:space="preserve">Category 9: Downstream Transportation and Distribution (Last-Mile Delivery)</w:t>
      </w:r>
    </w:p>
    <w:p>
      <w:pPr>
        <w:numPr>
          <w:ilvl w:val="0"/>
          <w:numId w:val="1008"/>
        </w:numPr>
        <w:pStyle w:val="Compact"/>
      </w:pPr>
      <w:r>
        <w:t xml:space="preserve">Illustrative Product Mass: 1.15 kg/unit</w:t>
      </w:r>
    </w:p>
    <w:p>
      <w:pPr>
        <w:numPr>
          <w:ilvl w:val="0"/>
          <w:numId w:val="1008"/>
        </w:numPr>
        <w:pStyle w:val="Compact"/>
      </w:pPr>
      <w:r>
        <w:t xml:space="preserve">Illustrative Last-Mile Transport: Parcel Service - Van</w:t>
      </w:r>
    </w:p>
    <w:p>
      <w:pPr>
        <w:numPr>
          <w:ilvl w:val="0"/>
          <w:numId w:val="1008"/>
        </w:numPr>
        <w:pStyle w:val="Compact"/>
      </w:pPr>
      <w:r>
        <w:t xml:space="preserve">Illustrative Downstream Distance: 500 km</w:t>
      </w:r>
    </w:p>
    <w:p>
      <w:pPr>
        <w:numPr>
          <w:ilvl w:val="0"/>
          <w:numId w:val="1008"/>
        </w:numPr>
        <w:pStyle w:val="Compact"/>
      </w:pPr>
      <w:r>
        <w:t xml:space="preserve">Illustrative Emission Factor (Small Van, average load, per tonne-km): ~0.15 kg CO2e/tonne-km (DEFRA approximation, higher due to smaller vehicle, less efficient load)</w:t>
      </w:r>
    </w:p>
    <w:p>
      <w:pPr>
        <w:numPr>
          <w:ilvl w:val="0"/>
          <w:numId w:val="1008"/>
        </w:numPr>
        <w:pStyle w:val="Compact"/>
      </w:pPr>
      <w:r>
        <w:rPr>
          <w:bCs/>
          <w:b/>
        </w:rPr>
        <w:t xml:space="preserve">Calculated Downstream Transport:</w:t>
      </w:r>
      <w:r>
        <w:t xml:space="preserve"> </w:t>
      </w:r>
      <w:r>
        <w:t xml:space="preserve">1.15 kg/unit * (1 tonne / 1000 kg) * 500 km * 0.15 kg CO2e/tonne-km =</w:t>
      </w:r>
      <w:r>
        <w:t xml:space="preserve"> </w:t>
      </w:r>
      <w:r>
        <w:rPr>
          <w:bCs/>
          <w:b/>
        </w:rPr>
        <w:t xml:space="preserve">0.08625 kg CO2e/unit</w:t>
      </w:r>
    </w:p>
    <w:bookmarkEnd w:id="41"/>
    <w:bookmarkStart w:id="42" w:name="category-11-use-of-sold-products"/>
    <w:p>
      <w:pPr>
        <w:pStyle w:val="Heading4"/>
      </w:pPr>
      <w:r>
        <w:t xml:space="preserve">Category 11: Use of Sold Products</w:t>
      </w:r>
    </w:p>
    <w:p>
      <w:pPr>
        <w:numPr>
          <w:ilvl w:val="0"/>
          <w:numId w:val="1009"/>
        </w:numPr>
        <w:pStyle w:val="Compact"/>
      </w:pPr>
      <w:r>
        <w:t xml:space="preserve">Product Lifespan: 5 years</w:t>
      </w:r>
    </w:p>
    <w:p>
      <w:pPr>
        <w:numPr>
          <w:ilvl w:val="0"/>
          <w:numId w:val="1009"/>
        </w:numPr>
        <w:pStyle w:val="Compact"/>
      </w:pPr>
      <w:r>
        <w:t xml:space="preserve">Energy Consumption: 10 kWh/year</w:t>
      </w:r>
    </w:p>
    <w:p>
      <w:pPr>
        <w:numPr>
          <w:ilvl w:val="0"/>
          <w:numId w:val="1009"/>
        </w:numPr>
        <w:pStyle w:val="Compact"/>
      </w:pPr>
      <w:r>
        <w:t xml:space="preserve">Total Use Phase Energy: 5 years * 10 kWh/year = 50 kWh/unit</w:t>
      </w:r>
    </w:p>
    <w:p>
      <w:pPr>
        <w:numPr>
          <w:ilvl w:val="0"/>
          <w:numId w:val="1009"/>
        </w:numPr>
        <w:pStyle w:val="Compact"/>
      </w:pPr>
      <w:r>
        <w:t xml:space="preserve">Illustrative European Grid Emission Factor: 0.25 kg CO2e/kWh (approximation for average European grid mix)</w:t>
      </w:r>
    </w:p>
    <w:p>
      <w:pPr>
        <w:numPr>
          <w:ilvl w:val="0"/>
          <w:numId w:val="1009"/>
        </w:numPr>
        <w:pStyle w:val="Compact"/>
      </w:pPr>
      <w:r>
        <w:rPr>
          <w:bCs/>
          <w:b/>
        </w:rPr>
        <w:t xml:space="preserve">Calculated Use Phase Emissions:</w:t>
      </w:r>
      <w:r>
        <w:t xml:space="preserve"> </w:t>
      </w:r>
      <w:r>
        <w:t xml:space="preserve">50 kWh/unit * 0.25 kg CO2e/kWh =</w:t>
      </w:r>
      <w:r>
        <w:t xml:space="preserve"> </w:t>
      </w:r>
      <w:r>
        <w:rPr>
          <w:bCs/>
          <w:b/>
        </w:rPr>
        <w:t xml:space="preserve">12.5 kg CO2e/unit</w:t>
      </w:r>
    </w:p>
    <w:bookmarkEnd w:id="42"/>
    <w:bookmarkStart w:id="43" w:name="X9f66eef2700632e081dfe139021cb724ffcd2c5"/>
    <w:p>
      <w:pPr>
        <w:pStyle w:val="Heading4"/>
      </w:pPr>
      <w:r>
        <w:t xml:space="preserve">Category 12: End-of-Life Treatment of Sold Products</w:t>
      </w:r>
    </w:p>
    <w:p>
      <w:pPr>
        <w:numPr>
          <w:ilvl w:val="0"/>
          <w:numId w:val="1010"/>
        </w:numPr>
        <w:pStyle w:val="Compact"/>
      </w:pPr>
      <w:r>
        <w:t xml:space="preserve">Recyclability Percentage: 80%</w:t>
      </w:r>
    </w:p>
    <w:p>
      <w:pPr>
        <w:numPr>
          <w:ilvl w:val="0"/>
          <w:numId w:val="1010"/>
        </w:numPr>
        <w:pStyle w:val="Compact"/>
      </w:pPr>
      <w:r>
        <w:t xml:space="preserve">Non-Recycled Waste: 20% of 1.15 kg = 0.23 kg</w:t>
      </w:r>
    </w:p>
    <w:p>
      <w:pPr>
        <w:numPr>
          <w:ilvl w:val="0"/>
          <w:numId w:val="1010"/>
        </w:numPr>
        <w:pStyle w:val="Compact"/>
      </w:pPr>
      <w:r>
        <w:t xml:space="preserve">Illustrative Landfill Emission Factor (for non-recycled waste): ~1.5 kg CO2e/kg (approximation, dependent on material)</w:t>
      </w:r>
    </w:p>
    <w:p>
      <w:pPr>
        <w:numPr>
          <w:ilvl w:val="0"/>
          <w:numId w:val="1010"/>
        </w:numPr>
        <w:pStyle w:val="Compact"/>
      </w:pPr>
      <w:r>
        <w:t xml:space="preserve">Illustrative Recycling Benefit (avoided emissions for 80% recycled, could be negative): ~ -2.0 kg CO2e/kg (approximation for aluminium/plastic, depends on material and replacement product)</w:t>
      </w:r>
    </w:p>
    <w:p>
      <w:pPr>
        <w:numPr>
          <w:ilvl w:val="0"/>
          <w:numId w:val="1010"/>
        </w:numPr>
        <w:pStyle w:val="Compact"/>
      </w:pPr>
      <w:r>
        <w:rPr>
          <w:bCs/>
          <w:b/>
        </w:rPr>
        <w:t xml:space="preserve">Calculated EoL (Disposal):</w:t>
      </w:r>
      <w:r>
        <w:t xml:space="preserve"> </w:t>
      </w:r>
      <w:r>
        <w:t xml:space="preserve">0.23 kg * 1.5 kg CO2e/kg = 0.345 kg CO2e</w:t>
      </w:r>
    </w:p>
    <w:p>
      <w:pPr>
        <w:numPr>
          <w:ilvl w:val="0"/>
          <w:numId w:val="1010"/>
        </w:numPr>
        <w:pStyle w:val="Compact"/>
      </w:pPr>
      <w:r>
        <w:rPr>
          <w:bCs/>
          <w:b/>
        </w:rPr>
        <w:t xml:space="preserve">Calculated EoL (Recycling Benefit):</w:t>
      </w:r>
      <w:r>
        <w:t xml:space="preserve"> </w:t>
      </w:r>
      <w:r>
        <w:t xml:space="preserve">0.92 kg (80% of 1.15kg) * -2.0 kg CO2e/kg = -1.84 kg CO2e</w:t>
      </w:r>
    </w:p>
    <w:p>
      <w:pPr>
        <w:numPr>
          <w:ilvl w:val="0"/>
          <w:numId w:val="1010"/>
        </w:numPr>
        <w:pStyle w:val="Compact"/>
      </w:pPr>
      <w:r>
        <w:rPr>
          <w:bCs/>
          <w:b/>
        </w:rPr>
        <w:t xml:space="preserve">Net End-of-Life Emissions:</w:t>
      </w:r>
      <w:r>
        <w:t xml:space="preserve"> </w:t>
      </w:r>
      <w:r>
        <w:t xml:space="preserve">0.345 kg CO2e - 1.84 kg CO2e =</w:t>
      </w:r>
      <w:r>
        <w:t xml:space="preserve"> </w:t>
      </w:r>
      <w:r>
        <w:rPr>
          <w:bCs/>
          <w:b/>
        </w:rPr>
        <w:t xml:space="preserve">-1.495 kg CO2e/unit</w:t>
      </w:r>
    </w:p>
    <w:p>
      <w:pPr>
        <w:pStyle w:val="FirstParagraph"/>
      </w:pPr>
      <w:r>
        <w:t xml:space="preserve">The company-led take-back programs (</w:t>
      </w:r>
      <w:r>
        <w:rPr>
          <w:rStyle w:val="VerbatimChar"/>
        </w:rPr>
        <w:t xml:space="preserve">qtkdhfwkhz</w:t>
      </w:r>
      <w:r>
        <w:t xml:space="preserve">) would further enhance circularity and potentially increase recycling rates or enable component reuse, leading to greater avoided emissions, which is reflected in the recycling benefit.</w:t>
      </w:r>
    </w:p>
    <w:bookmarkEnd w:id="43"/>
    <w:bookmarkEnd w:id="44"/>
    <w:bookmarkStart w:id="45"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 &amp; Category</w:t>
            </w:r>
          </w:p>
        </w:tc>
        <w:tc>
          <w:tcPr/>
          <w:p>
            <w:pPr>
              <w:pStyle w:val="Compact"/>
              <w:jc w:val="left"/>
            </w:pPr>
            <w:r>
              <w:t xml:space="preserve">Illustrative Emissions (kg CO2e/unit)</w:t>
            </w:r>
          </w:p>
        </w:tc>
      </w:tr>
      <w:tr>
        <w:tc>
          <w:tcPr/>
          <w:p>
            <w:pPr>
              <w:pStyle w:val="Compact"/>
              <w:jc w:val="left"/>
            </w:pPr>
            <w:r>
              <w:rPr>
                <w:bCs/>
                <w:b/>
              </w:rPr>
              <w:t xml:space="preserve">Scope 1: Direct Emissions</w:t>
            </w:r>
          </w:p>
        </w:tc>
        <w:tc>
          <w:tcPr/>
          <w:p>
            <w:pPr>
              <w:pStyle w:val="Compact"/>
              <w:jc w:val="left"/>
            </w:pPr>
            <w:r>
              <w:t xml:space="preserve">0.000</w:t>
            </w:r>
          </w:p>
        </w:tc>
      </w:tr>
      <w:tr>
        <w:tc>
          <w:tcPr/>
          <w:p>
            <w:pPr>
              <w:pStyle w:val="Compact"/>
              <w:jc w:val="left"/>
            </w:pPr>
            <w:r>
              <w:rPr>
                <w:bCs/>
                <w:b/>
              </w:rPr>
              <w:t xml:space="preserve">Scope 2: Purchased Electricity (Manufacturing)</w:t>
            </w:r>
          </w:p>
        </w:tc>
        <w:tc>
          <w:tcPr/>
          <w:p>
            <w:pPr>
              <w:pStyle w:val="Compact"/>
              <w:jc w:val="left"/>
            </w:pPr>
            <w:r>
              <w:t xml:space="preserve">3.150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6.585</w:t>
            </w:r>
          </w:p>
        </w:tc>
      </w:tr>
      <w:tr>
        <w:tc>
          <w:tcPr/>
          <w:p>
            <w:pPr>
              <w:pStyle w:val="Compact"/>
              <w:jc w:val="left"/>
            </w:pPr>
            <w:r>
              <w:t xml:space="preserve">    Category 4: Upstream Transportation and Distribution</w:t>
            </w:r>
          </w:p>
        </w:tc>
        <w:tc>
          <w:tcPr/>
          <w:p>
            <w:pPr>
              <w:pStyle w:val="Compact"/>
              <w:jc w:val="left"/>
            </w:pPr>
            <w:r>
              <w:t xml:space="preserve">0.035</w:t>
            </w:r>
          </w:p>
        </w:tc>
      </w:tr>
      <w:tr>
        <w:tc>
          <w:tcPr/>
          <w:p>
            <w:pPr>
              <w:pStyle w:val="Compact"/>
              <w:jc w:val="left"/>
            </w:pPr>
            <w:r>
              <w:t xml:space="preserve">    Category 9: Downstream Transportation and Distribution</w:t>
            </w:r>
          </w:p>
        </w:tc>
        <w:tc>
          <w:tcPr/>
          <w:p>
            <w:pPr>
              <w:pStyle w:val="Compact"/>
              <w:jc w:val="left"/>
            </w:pPr>
            <w:r>
              <w:t xml:space="preserve">0.086</w:t>
            </w:r>
          </w:p>
        </w:tc>
      </w:tr>
      <w:tr>
        <w:tc>
          <w:tcPr/>
          <w:p>
            <w:pPr>
              <w:pStyle w:val="Compact"/>
              <w:jc w:val="left"/>
            </w:pPr>
            <w:r>
              <w:t xml:space="preserve">    Category 11: Use of Sold Products</w:t>
            </w:r>
          </w:p>
        </w:tc>
        <w:tc>
          <w:tcPr/>
          <w:p>
            <w:pPr>
              <w:pStyle w:val="Compact"/>
              <w:jc w:val="left"/>
            </w:pPr>
            <w:r>
              <w:t xml:space="preserve">12.500</w:t>
            </w:r>
          </w:p>
        </w:tc>
      </w:tr>
      <w:tr>
        <w:tc>
          <w:tcPr/>
          <w:p>
            <w:pPr>
              <w:pStyle w:val="Compact"/>
              <w:jc w:val="left"/>
            </w:pPr>
            <w:r>
              <w:t xml:space="preserve">    Category 12: End-of-Life Treatment of Sold Products</w:t>
            </w:r>
          </w:p>
        </w:tc>
        <w:tc>
          <w:tcPr/>
          <w:p>
            <w:pPr>
              <w:pStyle w:val="Compact"/>
              <w:jc w:val="left"/>
            </w:pPr>
            <w:r>
              <w:t xml:space="preserve">-1.495</w:t>
            </w:r>
          </w:p>
        </w:tc>
      </w:tr>
      <w:tr>
        <w:tc>
          <w:tcPr/>
          <w:p>
            <w:pPr>
              <w:pStyle w:val="Compact"/>
              <w:jc w:val="left"/>
            </w:pPr>
            <w:r>
              <w:t xml:space="preserve">TOTAL PRODUCT CARBON FOOTPRINT</w:t>
            </w:r>
          </w:p>
        </w:tc>
        <w:tc>
          <w:tcPr/>
          <w:p>
            <w:pPr>
              <w:pStyle w:val="Compact"/>
              <w:jc w:val="left"/>
            </w:pPr>
            <w:r>
              <w:t xml:space="preserve">20.861</w:t>
            </w:r>
          </w:p>
        </w:tc>
      </w:tr>
    </w:tbl>
    <w:p>
      <w:pPr>
        <w:pStyle w:val="BodyText"/>
      </w:pPr>
      <w:r>
        <w:rPr>
          <w:iCs/>
          <w:i/>
        </w:rPr>
        <w:t xml:space="preserve">Note: All emission factors and calculated values are illustrative approximations based on general industry data and the provided placeholder parameters. Actual values require precise primary data and region-specific emission factors. Numbers are rounded for readability.</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Based on the illustrative calculations, the primary emission hotspots for</w:t>
      </w:r>
      <w:r>
        <w:t xml:space="preserve"> </w:t>
      </w:r>
      <w:r>
        <w:rPr>
          <w:bCs/>
          <w:b/>
        </w:rPr>
        <w:t xml:space="preserve">hzyhgzpzfo</w:t>
      </w:r>
      <w:r>
        <w:t xml:space="preserve"> </w:t>
      </w:r>
      <w:r>
        <w:t xml:space="preserve">are identified as:</w:t>
      </w:r>
    </w:p>
    <w:p>
      <w:pPr>
        <w:numPr>
          <w:ilvl w:val="0"/>
          <w:numId w:val="1011"/>
        </w:numPr>
        <w:pStyle w:val="Compact"/>
      </w:pPr>
      <w:r>
        <w:rPr>
          <w:bCs/>
          <w:b/>
        </w:rPr>
        <w:t xml:space="preserve">Use Phase (Approx. 60% of total PCF):</w:t>
      </w:r>
      <w:r>
        <w:t xml:space="preserve"> </w:t>
      </w:r>
      <w:r>
        <w:t xml:space="preserve">This is the most significant contributor, primarily due to the energy consumption of the product over its 5-year lifespan. This highlights the importance of energy efficiency during product design and user behavior.</w:t>
      </w:r>
    </w:p>
    <w:p>
      <w:pPr>
        <w:numPr>
          <w:ilvl w:val="0"/>
          <w:numId w:val="1011"/>
        </w:numPr>
        <w:pStyle w:val="Compact"/>
      </w:pPr>
      <w:r>
        <w:rPr>
          <w:bCs/>
          <w:b/>
        </w:rPr>
        <w:t xml:space="preserve">Purchased Goods and Services (Materials) (Approx. 31% of total PCF):</w:t>
      </w:r>
      <w:r>
        <w:t xml:space="preserve"> </w:t>
      </w:r>
      <w:r>
        <w:t xml:space="preserve">The raw materials, particularly the aluminium casing, contribute substantially to the upstream footprint. This indicates opportunities for material optimization, use of recycled content, and engaging with suppliers on their decarbonization efforts.</w:t>
      </w:r>
    </w:p>
    <w:p>
      <w:pPr>
        <w:numPr>
          <w:ilvl w:val="0"/>
          <w:numId w:val="1011"/>
        </w:numPr>
        <w:pStyle w:val="Compact"/>
      </w:pPr>
      <w:r>
        <w:rPr>
          <w:bCs/>
          <w:b/>
        </w:rPr>
        <w:t xml:space="preserve">Manufacturing (Purchased Electricity) (Approx. 15% of total PCF):</w:t>
      </w:r>
      <w:r>
        <w:t xml:space="preserve"> </w:t>
      </w:r>
      <w:r>
        <w:t xml:space="preserve">While 70% renewable energy is used, the remaining non-renewable electricity in China contributes significantly. Further increasing renewable energy sourcing or improving energy efficiency in production would reduce this impact.</w:t>
      </w:r>
    </w:p>
    <w:p>
      <w:pPr>
        <w:numPr>
          <w:ilvl w:val="0"/>
          <w:numId w:val="1011"/>
        </w:numPr>
        <w:pStyle w:val="Compact"/>
      </w:pPr>
      <w:r>
        <w:rPr>
          <w:bCs/>
          <w:b/>
        </w:rPr>
        <w:t xml:space="preserve">End-of-Life (Net negative contribution):</w:t>
      </w:r>
      <w:r>
        <w:t xml:space="preserve"> </w:t>
      </w:r>
      <w:r>
        <w:t xml:space="preserve">The high recyclability and circular programs show a net carbon removal benefit at the end-of-life stage, effectively offsetting a portion of upstream emissions. This demonstrates the positive impact of circular economy strategies.</w:t>
      </w:r>
    </w:p>
    <w:bookmarkEnd w:id="47"/>
    <w:bookmarkStart w:id="48" w:name="reliability-and-limitations"/>
    <w:p>
      <w:pPr>
        <w:pStyle w:val="Heading3"/>
      </w:pPr>
      <w:r>
        <w:t xml:space="preserve">5.2. Reliability and Limitations</w:t>
      </w:r>
    </w:p>
    <w:p>
      <w:pPr>
        <w:pStyle w:val="FirstParagraph"/>
      </w:pPr>
      <w:r>
        <w:t xml:space="preserve">The reliability of this report is directly tied to the quality and specificity of the input data.</w:t>
      </w:r>
    </w:p>
    <w:p>
      <w:pPr>
        <w:numPr>
          <w:ilvl w:val="0"/>
          <w:numId w:val="1012"/>
        </w:numPr>
        <w:pStyle w:val="Compact"/>
      </w:pPr>
      <w:r>
        <w:rPr>
          <w:bCs/>
          <w:b/>
        </w:rPr>
        <w:t xml:space="preserve">Data Limitations:</w:t>
      </w:r>
      <w:r>
        <w:t xml:space="preserve"> </w:t>
      </w:r>
      <w:r>
        <w:t xml:space="preserve">As indicated, specific numerical values for BOM details, transport distances/modes, energy intensity, and consumption were provided as textual placeholders (e.g.,</w:t>
      </w:r>
      <w:r>
        <w:t xml:space="preserve"> </w:t>
      </w:r>
      <w:r>
        <w:rPr>
          <w:rStyle w:val="VerbatimChar"/>
        </w:rPr>
        <w:t xml:space="preserve">vdxqpvde</w:t>
      </w:r>
      <w:r>
        <w:t xml:space="preserve">,</w:t>
      </w:r>
      <w:r>
        <w:t xml:space="preserve"> </w:t>
      </w:r>
      <w:r>
        <w:rPr>
          <w:rStyle w:val="VerbatimChar"/>
        </w:rPr>
        <w:t xml:space="preserve">ynpwfdgjrh</w:t>
      </w:r>
      <w:r>
        <w:t xml:space="preserve">). Illustrative data and industry average emission factors (Ecoinvent, DEFRA) have been used to demonstrate the methodology. Actual primary data for each parameter would significantly enhance accuracy.</w:t>
      </w:r>
    </w:p>
    <w:p>
      <w:pPr>
        <w:numPr>
          <w:ilvl w:val="0"/>
          <w:numId w:val="1012"/>
        </w:numPr>
        <w:pStyle w:val="Compact"/>
      </w:pPr>
      <w:r>
        <w:rPr>
          <w:bCs/>
          <w:b/>
        </w:rPr>
        <w:t xml:space="preserve">Geographic Specificity:</w:t>
      </w:r>
      <w:r>
        <w:t xml:space="preserve"> </w:t>
      </w:r>
      <w:r>
        <w:t xml:space="preserve">Generic emission factors were used for European and Chinese electricity grids and transport where specific data was not available, introducing a level of approximation.</w:t>
      </w:r>
    </w:p>
    <w:p>
      <w:pPr>
        <w:numPr>
          <w:ilvl w:val="0"/>
          <w:numId w:val="1012"/>
        </w:numPr>
        <w:pStyle w:val="Compact"/>
      </w:pPr>
      <w:r>
        <w:rPr>
          <w:bCs/>
          <w:b/>
        </w:rPr>
        <w:t xml:space="preserve">GHG Protocol Compliance:</w:t>
      </w:r>
      <w:r>
        <w:t xml:space="preserve"> </w:t>
      </w:r>
      <w:r>
        <w:t xml:space="preserve">The report adheres to the GHG Protocol\'s principles of relevance, completeness, consistency, transparency, and accuracy. The illustrative data allows for a demonstration of how 95% Scope 3 coverage would be achieved.</w:t>
      </w:r>
    </w:p>
    <w:p>
      <w:pPr>
        <w:numPr>
          <w:ilvl w:val="0"/>
          <w:numId w:val="1012"/>
        </w:numPr>
        <w:pStyle w:val="Compact"/>
      </w:pPr>
      <w:r>
        <w:rPr>
          <w:bCs/>
          <w:b/>
        </w:rPr>
        <w:t xml:space="preserve">LSR Standard:</w:t>
      </w:r>
      <w:r>
        <w:t xml:space="preserve"> </w:t>
      </w:r>
      <w:r>
        <w:t xml:space="preserve">The LSR Standard\'s full implementation details with accompanying guidance are expected in Q2 2026. A more in-depth assessment of land sector impacts for upstream materials would benefit from this upcoming guidance and more granular primary data from suppliers.</w:t>
      </w:r>
    </w:p>
    <w:p>
      <w:r>
        <w:pict>
          <v:rect style="width:0;height:1.5pt" o:hralign="center" o:hrstd="t" o:hr="t"/>
        </w:pict>
      </w:r>
    </w:p>
    <w:bookmarkEnd w:id="48"/>
    <w:bookmarkEnd w:id="49"/>
    <w:bookmarkStart w:id="51" w:name="recommendations-for-izvxmyuund"/>
    <w:p>
      <w:pPr>
        <w:pStyle w:val="Heading2"/>
      </w:pPr>
      <w:r>
        <w:t xml:space="preserve">Recommendations for izvxmyuund:</w:t>
      </w:r>
    </w:p>
    <w:p>
      <w:pPr>
        <w:numPr>
          <w:ilvl w:val="0"/>
          <w:numId w:val="1013"/>
        </w:numPr>
        <w:pStyle w:val="Compact"/>
      </w:pPr>
      <w:r>
        <w:rPr>
          <w:bCs/>
          <w:b/>
        </w:rPr>
        <w:t xml:space="preserve">Supplier Engagement:</w:t>
      </w:r>
      <w:r>
        <w:t xml:space="preserve"> </w:t>
      </w:r>
      <w:r>
        <w:t xml:space="preserve">Collaborate with material suppliers to collect primary data on material production and transportation, especially for high-impact components like aluminium and plastics, to refine Scope 3 calculations and identify further reduction opportunities.</w:t>
      </w:r>
    </w:p>
    <w:p>
      <w:pPr>
        <w:numPr>
          <w:ilvl w:val="0"/>
          <w:numId w:val="1013"/>
        </w:numPr>
        <w:pStyle w:val="Compact"/>
      </w:pPr>
      <w:r>
        <w:rPr>
          <w:bCs/>
          <w:b/>
        </w:rPr>
        <w:t xml:space="preserve">Product Design for Energy Efficiency:</w:t>
      </w:r>
      <w:r>
        <w:t xml:space="preserve"> </w:t>
      </w:r>
      <w:r>
        <w:t xml:space="preserve">Focus on designing the</w:t>
      </w:r>
      <w:r>
        <w:t xml:space="preserve"> </w:t>
      </w:r>
      <w:r>
        <w:rPr>
          <w:bCs/>
          <w:b/>
        </w:rPr>
        <w:t xml:space="preserve">hzyhgzpzfo</w:t>
      </w:r>
      <w:r>
        <w:t xml:space="preserve"> </w:t>
      </w:r>
      <w:r>
        <w:t xml:space="preserve">for even lower energy consumption during its use phase, given it\'s the largest hotspot.</w:t>
      </w:r>
    </w:p>
    <w:p>
      <w:pPr>
        <w:numPr>
          <w:ilvl w:val="0"/>
          <w:numId w:val="1013"/>
        </w:numPr>
        <w:pStyle w:val="Compact"/>
      </w:pPr>
      <w:r>
        <w:rPr>
          <w:bCs/>
          <w:b/>
        </w:rPr>
        <w:t xml:space="preserve">Renewable Energy Expansion:</w:t>
      </w:r>
      <w:r>
        <w:t xml:space="preserve"> </w:t>
      </w:r>
      <w:r>
        <w:t xml:space="preserve">Explore options to increase the share of renewable energy at the manufacturing facility in China, potentially aiming for 100% renewable energy procurement.</w:t>
      </w:r>
    </w:p>
    <w:p>
      <w:pPr>
        <w:numPr>
          <w:ilvl w:val="0"/>
          <w:numId w:val="1013"/>
        </w:numPr>
        <w:pStyle w:val="Compact"/>
      </w:pPr>
      <w:r>
        <w:rPr>
          <w:bCs/>
          <w:b/>
        </w:rPr>
        <w:t xml:space="preserve">Logistics Optimization:</w:t>
      </w:r>
      <w:r>
        <w:t xml:space="preserve"> </w:t>
      </w:r>
      <w:r>
        <w:t xml:space="preserve">Investigate more efficient transportation modes or optimize logistics routes and load factors to reduce upstream and downstream transport emissions.</w:t>
      </w:r>
    </w:p>
    <w:p>
      <w:pPr>
        <w:numPr>
          <w:ilvl w:val="0"/>
          <w:numId w:val="1013"/>
        </w:numPr>
        <w:pStyle w:val="Compact"/>
      </w:pPr>
      <w:r>
        <w:rPr>
          <w:bCs/>
          <w:b/>
        </w:rPr>
        <w:t xml:space="preserve">Circular Economy Enhancement:</w:t>
      </w:r>
      <w:r>
        <w:t xml:space="preserve"> </w:t>
      </w:r>
      <w:r>
        <w:t xml:space="preserve">Continue to strengthen circularity efforts, potentially expanding take-back programs to a wider range of components or exploring innovative materials with lower embodied carbon and higher recyclability.</w:t>
      </w:r>
    </w:p>
    <w:p>
      <w:pPr>
        <w:numPr>
          <w:ilvl w:val="0"/>
          <w:numId w:val="1013"/>
        </w:numPr>
        <w:pStyle w:val="Compact"/>
      </w:pPr>
      <w:r>
        <w:rPr>
          <w:bCs/>
          <w:b/>
        </w:rPr>
        <w:t xml:space="preserve">Data Refinement:</w:t>
      </w:r>
      <w:r>
        <w:t xml:space="preserve"> </w:t>
      </w:r>
      <w:r>
        <w:t xml:space="preserve">Systematically collect primary data for all parameters to move from illustrative approximations to highly accurate, verifiable PCF results.</w:t>
      </w:r>
    </w:p>
    <w:p>
      <w:pPr>
        <w:pStyle w:val="FirstParagraph"/>
      </w:pPr>
      <w:r>
        <w:t xml:space="preserve">Confidential - Internal Use Only | Page</w:t>
      </w:r>
      <w:r>
        <w:t xml:space="preserve"> </w:t>
      </w:r>
      <w:bookmarkStart w:id="50" w:name="page-number"/>
      <w:bookmarkEnd w:id="50"/>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hzyhgzpzfo</dc:title>
  <dc:creator/>
  <dc:description>Detailed Product Carbon Footprint (PCF) analysis report for product hzyhgzpzfo, performed by Senior Sustainability Consultant wklnylyixj for izvxmyuund, adhering to GHG Protocol standards.</dc:description>
  <dc:language>en</dc:language>
  <cp:keywords/>
  <dcterms:created xsi:type="dcterms:W3CDTF">2026-07-15T09:35:36Z</dcterms:created>
  <dcterms:modified xsi:type="dcterms:W3CDTF">2026-07-15T09:35:36Z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