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hzrmowtdef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zrmowtdef"/>
    <w:p>
      <w:pPr>
        <w:pStyle w:val="Heading2"/>
      </w:pPr>
      <w:r>
        <w:t xml:space="preserve">Product: hzrmowtdef</w:t>
      </w:r>
    </w:p>
    <w:p>
      <w:pPr>
        <w:pStyle w:val="FirstParagraph"/>
      </w:pPr>
      <w:r>
        <w:rPr>
          <w:bCs/>
          <w:b/>
        </w:rPr>
        <w:t xml:space="preserve">Company Name:</w:t>
      </w:r>
      <w:r>
        <w:t xml:space="preserve"> </w:t>
      </w:r>
      <w:r>
        <w:t xml:space="preserve">vtjwoyluek</w:t>
      </w:r>
    </w:p>
    <w:p>
      <w:pPr>
        <w:pStyle w:val="BodyText"/>
      </w:pPr>
      <w:r>
        <w:rPr>
          <w:bCs/>
          <w:b/>
        </w:rPr>
        <w:t xml:space="preserve">Senior Sustainability Consultant:</w:t>
      </w:r>
      <w:r>
        <w:t xml:space="preserve"> </w:t>
      </w:r>
      <w:r>
        <w:t xml:space="preserve">kudvkruwrj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actual emissions may vary. The calculations presented herein are illustrative, using representative data where specific inputs were</w:t>
      </w:r>
      <w:r>
        <w:t xml:space="preserve"> </w:t>
      </w:r>
      <w:r>
        <w:t xml:space="preserve">provided as placeholders.</w:t>
      </w:r>
    </w:p>
    <w:bookmarkEnd w:id="20"/>
    <w:bookmarkEnd w:id="21"/>
    <w:bookmarkStart w:id="22" w:name="X9b21fc1cb95edc72b91af4c3e9cf7b7c991058d"/>
    <w:p>
      <w:pPr>
        <w:pStyle w:val="Heading1"/>
      </w:pPr>
      <w:r>
        <w:t xml:space="preserve">Product Carbon Footprint Report for hzrmowtdef</w:t>
      </w:r>
    </w:p>
    <w:p>
      <w:pPr>
        <w:pStyle w:val="FirstParagraph"/>
      </w:pPr>
      <w:r>
        <w:t xml:space="preserve">Generated Date: May 18, 2026</w:t>
      </w:r>
    </w:p>
    <w:bookmarkEnd w:id="22"/>
    <w:bookmarkStart w:id="24" w:name="executive-summary"/>
    <w:p>
      <w:pPr>
        <w:pStyle w:val="Heading2"/>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hzrmowtdef</w:t>
      </w:r>
      <w:r>
        <w:t xml:space="preserve">,</w:t>
      </w:r>
      <w:r>
        <w:t xml:space="preserve"> </w:t>
      </w:r>
      <w:r>
        <w:t xml:space="preserve">manufactured by</w:t>
      </w:r>
      <w:r>
        <w:t xml:space="preserve"> </w:t>
      </w:r>
      <w:r>
        <w:rPr>
          <w:bCs/>
          <w:b/>
        </w:rPr>
        <w:t xml:space="preserve">vtjwoyluek</w:t>
      </w:r>
      <w:r>
        <w:t xml:space="preserve">. The analysis was conducted by</w:t>
      </w:r>
      <w:r>
        <w:t xml:space="preserve"> </w:t>
      </w:r>
      <w:r>
        <w:rPr>
          <w:bCs/>
          <w:b/>
        </w:rPr>
        <w:t xml:space="preserve">kudvkruwrj</w:t>
      </w:r>
      <w:r>
        <w:t xml:space="preserve">, a Senior</w:t>
      </w:r>
      <w:r>
        <w:t xml:space="preserve"> </w:t>
      </w:r>
      <w:r>
        <w:t xml:space="preserve">Sustainability Consultant, adhering strictly to the</w:t>
      </w:r>
      <w:r>
        <w:t xml:space="preserve"> </w:t>
      </w:r>
      <w:hyperlink r:id="rId23">
        <w:r>
          <w:rPr>
            <w:rStyle w:val="Hyperlink"/>
          </w:rPr>
          <w:t xml:space="preserve">GHG Protocol</w:t>
        </w:r>
      </w:hyperlink>
      <w:r>
        <w:t xml:space="preserve"> </w:t>
      </w:r>
      <w:r>
        <w:t xml:space="preserve">standards, including considerations for the 2026 Land Sector and Removals (LSR) Standard update. The primary objective</w:t>
      </w:r>
      <w:r>
        <w:t xml:space="preserve"> </w:t>
      </w:r>
      <w:r>
        <w:t xml:space="preserve">is to quantify the greenhouse gas (GHG) emissions associated with hzrmowtdef across its entire lifecycle,</w:t>
      </w:r>
      <w:r>
        <w:t xml:space="preserve"> </w:t>
      </w:r>
      <w:r>
        <w:t xml:space="preserve">from raw material extraction to end-of-life, expressed in kilograms of carbon dioxide equivalent (kg CO2e) per functional unit.</w:t>
      </w:r>
      <w:r>
        <w:t xml:space="preserve"> </w:t>
      </w:r>
      <w:r>
        <w:t xml:space="preserve">This assessment aims to identify emission hotspots and provide a baseline for future sustainability improvements.</w:t>
      </w:r>
    </w:p>
    <w:p>
      <w:r>
        <w:pict>
          <v:rect style="width:0;height:1.5pt" o:hralign="center" o:hrstd="t" o:hr="t"/>
        </w:pict>
      </w:r>
    </w:p>
    <w:bookmarkEnd w:id="24"/>
    <w:bookmarkStart w:id="33" w:name="methodology"/>
    <w:p>
      <w:pPr>
        <w:pStyle w:val="Heading2"/>
      </w:pPr>
      <w:r>
        <w:t xml:space="preserve">2. Methodology</w:t>
      </w:r>
    </w:p>
    <w:p>
      <w:pPr>
        <w:pStyle w:val="FirstParagraph"/>
      </w:pPr>
      <w:r>
        <w:t xml:space="preserve">The Product Carbon Footprint (PCF) analysis for hzrmowtdef followed a robust five-step methodology,</w:t>
      </w:r>
      <w:r>
        <w:t xml:space="preserve"> </w:t>
      </w:r>
      <w:r>
        <w:t xml:space="preserve">in line with the GHG Protocol Product Standard. Emissions are categorized into Scope 1 (direct emissions),</w:t>
      </w:r>
      <w:r>
        <w:t xml:space="preserve"> </w:t>
      </w:r>
      <w:r>
        <w:t xml:space="preserve">Scope 2 (indirect emissions from purchased energy), and Scope 3 (all other indirect emissions across the value chain).</w:t>
      </w:r>
      <w:r>
        <w:t xml:space="preserve"> </w:t>
      </w:r>
      <w:r>
        <w:t xml:space="preserve">Emphasis was placed on ensuring at least 95% coverage for Scope 3 reporting, reflecting the 2026 requirements.</w:t>
      </w:r>
      <w:r>
        <w:t xml:space="preserve"> </w:t>
      </w:r>
      <w:r>
        <w:t xml:space="preserve">The 2026 Land Sector and Removals (LSR) Standard was considered for land-use change and carbon removals,</w:t>
      </w:r>
      <w:r>
        <w:t xml:space="preserve"> </w:t>
      </w:r>
      <w:r>
        <w:t xml:space="preserve">though specific impacts were deemed negligible or not quantifiable without detailed raw material origin data for this specific product.</w:t>
      </w:r>
    </w:p>
    <w:bookmarkStart w:id="25"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hzrmowtdef. This represents the reference flow to which all inputs and outputs are related.</w:t>
      </w:r>
    </w:p>
    <w:p>
      <w:pPr>
        <w:numPr>
          <w:ilvl w:val="0"/>
          <w:numId w:val="1001"/>
        </w:numPr>
        <w:pStyle w:val="Compact"/>
      </w:pPr>
      <w:r>
        <w:rPr>
          <w:bCs/>
          <w:b/>
        </w:rPr>
        <w:t xml:space="preserve">System Boundary:</w:t>
      </w:r>
      <w:r>
        <w:t xml:space="preserve"> </w:t>
      </w:r>
      <w:r>
        <w:t xml:space="preserve">factory_gate. This "cradle-to-gate" assessment focuses on emissions from raw material acquisition, manufacturing, and transport up to the point the product leaves the factory gate. However, for a comprehensive PCF, downstream stages (use and end-of-life) were also included, making this effectively a "cradle-to-grave" analysis with a "factory gate" focus for upstream reporting granularity.</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occurs in China, while a significant portion of raw materials and components, as well as final market, are based in Europe.</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Allocation:</w:t>
      </w:r>
      <w:r>
        <w:t xml:space="preserve"> </w:t>
      </w:r>
      <w:r>
        <w:t xml:space="preserve">Where shared processes or facilities were involved, emissions were allocated based on mass, as no specific economic or energy-based allocation factors were provided.</w:t>
      </w:r>
    </w:p>
    <w:bookmarkEnd w:id="25"/>
    <w:bookmarkStart w:id="26" w:name="map-lifecycle-lci-inventory-stages"/>
    <w:p>
      <w:pPr>
        <w:pStyle w:val="Heading3"/>
      </w:pPr>
      <w:r>
        <w:t xml:space="preserve">2.2. Map Lifecycle (LCI Inventory Stages)</w:t>
      </w:r>
    </w:p>
    <w:p>
      <w:pPr>
        <w:pStyle w:val="FirstParagraph"/>
      </w:pPr>
      <w:r>
        <w:t xml:space="preserve">The lifecycle of hzrmowtdef was mapped into distinct stages to capture all relevant inputs and outputs.</w:t>
      </w:r>
      <w:r>
        <w:t xml:space="preserve"> </w:t>
      </w:r>
      <w:r>
        <w:t xml:space="preserve">These stages include:</w:t>
      </w:r>
    </w:p>
    <w:p>
      <w:pPr>
        <w:numPr>
          <w:ilvl w:val="0"/>
          <w:numId w:val="1002"/>
        </w:numPr>
        <w:pStyle w:val="Compact"/>
      </w:pPr>
      <w:r>
        <w:rPr>
          <w:bCs/>
          <w:b/>
        </w:rPr>
        <w:t xml:space="preserve">Raw Material Acquisition &amp; Pre-processing (Scope 3 - Upstream):</w:t>
      </w:r>
      <w:r>
        <w:t xml:space="preserve"> </w:t>
      </w:r>
      <w:r>
        <w:t xml:space="preserve">Extraction, processing, and refining of all materials specified in the Detailed Bill of Materials (BOM).</w:t>
      </w:r>
    </w:p>
    <w:p>
      <w:pPr>
        <w:numPr>
          <w:ilvl w:val="0"/>
          <w:numId w:val="1002"/>
        </w:numPr>
        <w:pStyle w:val="Compact"/>
      </w:pPr>
      <w:r>
        <w:rPr>
          <w:bCs/>
          <w:b/>
        </w:rPr>
        <w:t xml:space="preserve">Manufacturing (Scope 1 &amp; 2):</w:t>
      </w:r>
      <w:r>
        <w:t xml:space="preserve"> </w:t>
      </w:r>
      <w:r>
        <w:t xml:space="preserve">Energy consumption, direct emissions (e.g., from owned boilers, if any), and process emissions at the production facility in China.</w:t>
      </w:r>
    </w:p>
    <w:p>
      <w:pPr>
        <w:numPr>
          <w:ilvl w:val="0"/>
          <w:numId w:val="1002"/>
        </w:numPr>
        <w:pStyle w:val="Compact"/>
      </w:pPr>
      <w:r>
        <w:rPr>
          <w:bCs/>
          <w:b/>
        </w:rPr>
        <w:t xml:space="preserve">Transport (Scope 3 - Upstream &amp; Downstream):</w:t>
      </w:r>
      <w:r>
        <w:t xml:space="preserve"> </w:t>
      </w:r>
      <w:r>
        <w:t xml:space="preserve">Transportation of raw materials and components to the factory (upstream) and transport of the finished product to the customer (downstream).</w:t>
      </w:r>
    </w:p>
    <w:p>
      <w:pPr>
        <w:numPr>
          <w:ilvl w:val="0"/>
          <w:numId w:val="1002"/>
        </w:numPr>
        <w:pStyle w:val="Compact"/>
      </w:pPr>
      <w:r>
        <w:rPr>
          <w:bCs/>
          <w:b/>
        </w:rPr>
        <w:t xml:space="preserve">Use Phase (Scope 3 - Downstream):</w:t>
      </w:r>
      <w:r>
        <w:t xml:space="preserve"> </w:t>
      </w:r>
      <w:r>
        <w:t xml:space="preserve">Energy consumption and any other relevant emissions during the product\'s lifespan.</w:t>
      </w:r>
    </w:p>
    <w:p>
      <w:pPr>
        <w:numPr>
          <w:ilvl w:val="0"/>
          <w:numId w:val="1002"/>
        </w:numPr>
        <w:pStyle w:val="Compact"/>
      </w:pPr>
      <w:r>
        <w:rPr>
          <w:bCs/>
          <w:b/>
        </w:rPr>
        <w:t xml:space="preserve">End-of-Life (EoL) (Scope 3 - Downstream):</w:t>
      </w:r>
      <w:r>
        <w:t xml:space="preserve"> </w:t>
      </w:r>
      <w:r>
        <w:t xml:space="preserve">Emissions or credits associated with recycling, waste treatment, and disposal.</w:t>
      </w:r>
    </w:p>
    <w:bookmarkEnd w:id="26"/>
    <w:bookmarkStart w:id="32" w:name="Xb57f50a89bf1f3f1837369be949d9d60d6c1272"/>
    <w:p>
      <w:pPr>
        <w:pStyle w:val="Heading3"/>
      </w:pPr>
      <w:r>
        <w:t xml:space="preserve">2.3. Collect Data (Primary/Secondary Data Points)</w:t>
      </w:r>
    </w:p>
    <w:p>
      <w:pPr>
        <w:pStyle w:val="FirstParagraph"/>
      </w:pPr>
      <w:r>
        <w:t xml:space="preserve">Data collection involved leveraging the provided specific parameters and supplementing with industry-average secondary data where primary data was unavailable.</w:t>
      </w:r>
    </w:p>
    <w:bookmarkStart w:id="27" w:name="X20a9284e76443eff7ac75d9cbed5079d9ec80d6"/>
    <w:p>
      <w:pPr>
        <w:pStyle w:val="Heading4"/>
      </w:pPr>
      <w:r>
        <w:t xml:space="preserve">2.3.1. Detailed Bill of Materials (BOM) for hzrmowtdef</w:t>
      </w:r>
    </w:p>
    <w:p>
      <w:pPr>
        <w:pStyle w:val="FirstParagraph"/>
      </w:pPr>
      <w:r>
        <w:t xml:space="preserve">The following Bill of Materials (BOM), represented by \'nziqnvjx\' in the parameters, was used for high-accuracy material impact calculation.</w:t>
      </w:r>
      <w:r>
        <w:t xml:space="preserve"> </w:t>
      </w:r>
      <w:r>
        <w:t xml:space="preserve">The \'Total Carbon\' value for each item represents its pre-calculated cradle-to-gate carbon footprint, used directly in the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 (Primary)</w:t>
            </w:r>
          </w:p>
        </w:tc>
        <w:tc>
          <w:tcPr/>
          <w:p>
            <w:pPr>
              <w:pStyle w:val="Compact"/>
              <w:jc w:val="left"/>
            </w:pPr>
            <w:r>
              <w:t xml:space="preserve">0.25</w:t>
            </w:r>
          </w:p>
        </w:tc>
        <w:tc>
          <w:tcPr/>
          <w:p>
            <w:pPr>
              <w:pStyle w:val="Compact"/>
              <w:jc w:val="left"/>
            </w:pPr>
            <w:r>
              <w:t xml:space="preserve">kg</w:t>
            </w:r>
          </w:p>
        </w:tc>
        <w:tc>
          <w:tcPr/>
          <w:p>
            <w:pPr>
              <w:pStyle w:val="Compact"/>
              <w:jc w:val="left"/>
            </w:pPr>
            <w:r>
              <w:t xml:space="preserve">8.5</w:t>
            </w:r>
          </w:p>
        </w:tc>
        <w:tc>
          <w:tcPr/>
          <w:p>
            <w:pPr>
              <w:pStyle w:val="Compact"/>
              <w:jc w:val="left"/>
            </w:pPr>
            <w:r>
              <w:t xml:space="preserve">2.125</w:t>
            </w:r>
          </w:p>
        </w:tc>
      </w:tr>
      <w:tr>
        <w:tc>
          <w:tcPr/>
          <w:p>
            <w:pPr>
              <w:pStyle w:val="Compact"/>
              <w:jc w:val="left"/>
            </w:pPr>
            <w:r>
              <w:t xml:space="preserve">MAT-002</w:t>
            </w:r>
          </w:p>
        </w:tc>
        <w:tc>
          <w:tcPr/>
          <w:p>
            <w:pPr>
              <w:pStyle w:val="Compact"/>
              <w:jc w:val="left"/>
            </w:pPr>
            <w:r>
              <w:t xml:space="preserve">Recycled Plastic Enclosure</w:t>
            </w:r>
          </w:p>
        </w:tc>
        <w:tc>
          <w:tcPr/>
          <w:p>
            <w:pPr>
              <w:pStyle w:val="Compact"/>
              <w:jc w:val="left"/>
            </w:pPr>
            <w:r>
              <w:t xml:space="preserve">Plastics</w:t>
            </w:r>
          </w:p>
        </w:tc>
        <w:tc>
          <w:tcPr/>
          <w:p>
            <w:pPr>
              <w:pStyle w:val="Compact"/>
              <w:jc w:val="left"/>
            </w:pPr>
            <w:r>
              <w:t xml:space="preserve">Injection Molding (Recycled PP)</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MAT-004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Folding &amp; Printing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gridSpan w:val="7"/>
          </w:tcPr>
          <w:p>
            <w:pPr>
              <w:pStyle w:val="Compact"/>
              <w:jc w:val="right"/>
            </w:pPr>
            <w:r>
              <w:rPr>
                <w:bCs/>
                <w:b/>
              </w:rPr>
              <w:t xml:space="preserve">Total Material Carbon (Scope 3 Upstream):</w:t>
            </w:r>
          </w:p>
        </w:tc>
        <w:tc>
          <w:tcPr/>
          <w:p>
            <w:pPr>
              <w:pStyle w:val="Compact"/>
              <w:jc w:val="left"/>
            </w:pPr>
            <w:r>
              <w:rPr>
                <w:bCs/>
                <w:b/>
              </w:rPr>
              <w:t xml:space="preserve">4.921 kg CO2e</w:t>
            </w:r>
          </w:p>
        </w:tc>
      </w:tr>
    </w:tbl>
    <w:p>
      <w:pPr>
        <w:pStyle w:val="BodyText"/>
      </w:pPr>
      <w:r>
        <w:rPr>
          <w:iCs/>
          <w:i/>
        </w:rPr>
        <w:t xml:space="preserve">Note: The above BOM data is illustrative, reflecting the \'nziqnvjx\' parameter format with example values for quantities,</w:t>
      </w:r>
      <w:r>
        <w:rPr>
          <w:iCs/>
          <w:i/>
        </w:rPr>
        <w:t xml:space="preserve"> </w:t>
      </w:r>
      <w:r>
        <w:rPr>
          <w:iCs/>
          <w:i/>
        </w:rPr>
        <w:t xml:space="preserve">emission factors, and pre-calculated total carbon for each item. These values directly feed into the material impact calculation.</w:t>
      </w:r>
    </w:p>
    <w:bookmarkEnd w:id="27"/>
    <w:bookmarkStart w:id="28" w:name="energy-inputs-manufacturing-phase"/>
    <w:p>
      <w:pPr>
        <w:pStyle w:val="Heading4"/>
      </w:pPr>
      <w:r>
        <w:t xml:space="preserve">2.3.2. Energy Inputs (Manufacturing Phase)</w:t>
      </w:r>
    </w:p>
    <w:p>
      <w:pPr>
        <w:numPr>
          <w:ilvl w:val="0"/>
          <w:numId w:val="1003"/>
        </w:numPr>
        <w:pStyle w:val="Compact"/>
      </w:pPr>
      <w:r>
        <w:rPr>
          <w:bCs/>
          <w:b/>
        </w:rPr>
        <w:t xml:space="preserve">Renewable Energy Usage (lytkrsujut):</w:t>
      </w:r>
      <w:r>
        <w:t xml:space="preserve"> </w:t>
      </w:r>
      <w:r>
        <w:t xml:space="preserve">75%</w:t>
      </w:r>
    </w:p>
    <w:p>
      <w:pPr>
        <w:numPr>
          <w:ilvl w:val="0"/>
          <w:numId w:val="1003"/>
        </w:numPr>
        <w:pStyle w:val="Compact"/>
      </w:pPr>
      <w:r>
        <w:rPr>
          <w:bCs/>
          <w:b/>
        </w:rPr>
        <w:t xml:space="preserve">Energy Intensity (xxpfduetiz):</w:t>
      </w:r>
      <w:r>
        <w:t xml:space="preserve"> </w:t>
      </w:r>
      <w:r>
        <w:t xml:space="preserve">15 kWh/unit</w:t>
      </w:r>
    </w:p>
    <w:p>
      <w:pPr>
        <w:numPr>
          <w:ilvl w:val="0"/>
          <w:numId w:val="1003"/>
        </w:numPr>
        <w:pStyle w:val="Compact"/>
      </w:pPr>
      <w:r>
        <w:t xml:space="preserve">The remaining 25% of energy is assumed to be sourced from the grid in China. An illustrative grid emission factor for China of 0.65 kg CO2e/kWh was used.</w:t>
      </w:r>
    </w:p>
    <w:bookmarkEnd w:id="28"/>
    <w:bookmarkStart w:id="29" w:name="logistics-data-transport-phase"/>
    <w:p>
      <w:pPr>
        <w:pStyle w:val="Heading4"/>
      </w:pPr>
      <w:r>
        <w:t xml:space="preserve">2.3.3. Logistics Data (Transport Phase)</w:t>
      </w:r>
    </w:p>
    <w:p>
      <w:pPr>
        <w:numPr>
          <w:ilvl w:val="0"/>
          <w:numId w:val="1004"/>
        </w:numPr>
        <w:pStyle w:val="Compact"/>
      </w:pPr>
      <w:r>
        <w:rPr>
          <w:bCs/>
          <w:b/>
        </w:rPr>
        <w:t xml:space="preserve">Transport Mode (Select Mode):</w:t>
      </w:r>
      <w:r>
        <w:t xml:space="preserve"> </w:t>
      </w:r>
      <w:r>
        <w:t xml:space="preserve">Road Freight (Heavy Goods Vehicle, Euro VI standard). Assumed for primary transport from suppliers (Europe Focused) to the factory (China) or from China to European distribution centers.</w:t>
      </w:r>
    </w:p>
    <w:p>
      <w:pPr>
        <w:numPr>
          <w:ilvl w:val="0"/>
          <w:numId w:val="1004"/>
        </w:numPr>
        <w:pStyle w:val="Compact"/>
      </w:pPr>
      <w:r>
        <w:rPr>
          <w:bCs/>
          <w:b/>
        </w:rPr>
        <w:t xml:space="preserve">Transport Distance (fqdnpfhuvo):</w:t>
      </w:r>
      <w:r>
        <w:t xml:space="preserve"> </w:t>
      </w:r>
      <w:r>
        <w:t xml:space="preserve">1,500 km (illustrative average for key supply chain legs).</w:t>
      </w:r>
    </w:p>
    <w:p>
      <w:pPr>
        <w:numPr>
          <w:ilvl w:val="0"/>
          <w:numId w:val="1004"/>
        </w:numPr>
        <w:pStyle w:val="Compact"/>
      </w:pPr>
      <w:r>
        <w:rPr>
          <w:bCs/>
          <w:b/>
        </w:rPr>
        <w:t xml:space="preserve">Last-Mile Delivery Channel (Delivery Type):</w:t>
      </w:r>
      <w:r>
        <w:t xml:space="preserve"> </w:t>
      </w:r>
      <w:r>
        <w:t xml:space="preserve">Light Commercial Vehicle (Diesel). Assumed for delivery from distribution centers to end-users. An illustrative average last-mile emission per package was used.</w:t>
      </w:r>
    </w:p>
    <w:bookmarkEnd w:id="29"/>
    <w:bookmarkStart w:id="30" w:name="use-phase-data"/>
    <w:p>
      <w:pPr>
        <w:pStyle w:val="Heading4"/>
      </w:pPr>
      <w:r>
        <w:t xml:space="preserve">2.3.4. Use Phase Data</w:t>
      </w:r>
    </w:p>
    <w:p>
      <w:pPr>
        <w:numPr>
          <w:ilvl w:val="0"/>
          <w:numId w:val="1005"/>
        </w:numPr>
        <w:pStyle w:val="Compact"/>
      </w:pPr>
      <w:r>
        <w:rPr>
          <w:bCs/>
          <w:b/>
        </w:rPr>
        <w:t xml:space="preserve">Product Lifespan (lexzzlhphd):</w:t>
      </w:r>
      <w:r>
        <w:t xml:space="preserve"> </w:t>
      </w:r>
      <w:r>
        <w:t xml:space="preserve">5 years</w:t>
      </w:r>
    </w:p>
    <w:p>
      <w:pPr>
        <w:numPr>
          <w:ilvl w:val="0"/>
          <w:numId w:val="1005"/>
        </w:numPr>
        <w:pStyle w:val="Compact"/>
      </w:pPr>
      <w:r>
        <w:rPr>
          <w:bCs/>
          <w:b/>
        </w:rPr>
        <w:t xml:space="preserve">Energy Consumption in Use (wrfjlhmjgv):</w:t>
      </w:r>
      <w:r>
        <w:t xml:space="preserve"> </w:t>
      </w:r>
      <w:r>
        <w:t xml:space="preserve">20 kWh/year. This translates to 100 kWh over the product\'s lifespan (5 years * 20 kWh/year).</w:t>
      </w:r>
    </w:p>
    <w:p>
      <w:pPr>
        <w:numPr>
          <w:ilvl w:val="0"/>
          <w:numId w:val="1005"/>
        </w:numPr>
        <w:pStyle w:val="Compact"/>
      </w:pPr>
      <w:r>
        <w:t xml:space="preserve">An illustrative average European grid emission factor of 0.25 kg CO2e/kWh was used for the energy consumed during the use phase.</w:t>
      </w:r>
    </w:p>
    <w:bookmarkEnd w:id="30"/>
    <w:bookmarkStart w:id="31" w:name="end-of-life-eol-scenarios"/>
    <w:p>
      <w:pPr>
        <w:pStyle w:val="Heading4"/>
      </w:pPr>
      <w:r>
        <w:t xml:space="preserve">2.3.5. End-of-Life (EoL) Scenarios</w:t>
      </w:r>
    </w:p>
    <w:p>
      <w:pPr>
        <w:numPr>
          <w:ilvl w:val="0"/>
          <w:numId w:val="1006"/>
        </w:numPr>
        <w:pStyle w:val="Compact"/>
      </w:pPr>
      <w:r>
        <w:rPr>
          <w:bCs/>
          <w:b/>
        </w:rPr>
        <w:t xml:space="preserve">Recyclability Percentage (yhoehlogvo):</w:t>
      </w:r>
      <w:r>
        <w:t xml:space="preserve"> </w:t>
      </w:r>
      <w:r>
        <w:t xml:space="preserve">80% of the product\'s mass is assumed to be recycled.</w:t>
      </w:r>
    </w:p>
    <w:p>
      <w:pPr>
        <w:numPr>
          <w:ilvl w:val="0"/>
          <w:numId w:val="1006"/>
        </w:numPr>
        <w:pStyle w:val="Compact"/>
      </w:pPr>
      <w:r>
        <w:rPr>
          <w:bCs/>
          <w:b/>
        </w:rPr>
        <w:t xml:space="preserve">Circular/Take-back Programs (jtgqnznvzf):</w:t>
      </w:r>
      <w:r>
        <w:t xml:space="preserve"> </w:t>
      </w:r>
      <w:r>
        <w:t xml:space="preserve">Established take-back program with high collection rates for critical components. The remaining 20% of the product\'s mass is assumed to be landfilled.</w:t>
      </w:r>
    </w:p>
    <w:p>
      <w:pPr>
        <w:pStyle w:val="FirstParagraph"/>
      </w:pPr>
      <w:r>
        <w:rPr>
          <w:iCs/>
          <w:i/>
        </w:rPr>
        <w:t xml:space="preserve">All emission factors used for calculations (e.g., for transport, energy grid mixes, and EoL processes) are based on illustrative, industry-standard values,</w:t>
      </w:r>
      <w:r>
        <w:rPr>
          <w:iCs/>
          <w:i/>
        </w:rPr>
        <w:t xml:space="preserve"> </w:t>
      </w:r>
      <w:r>
        <w:rPr>
          <w:iCs/>
          <w:i/>
        </w:rPr>
        <w:t xml:space="preserve">consistent with methodologies found in databases like Ecoinvent or DEFRA, where direct database access is not feasible within this environment.</w:t>
      </w:r>
    </w:p>
    <w:p>
      <w:r>
        <w:pict>
          <v:rect style="width:0;height:1.5pt" o:hralign="center" o:hrstd="t" o:hr="t"/>
        </w:pict>
      </w:r>
    </w:p>
    <w:bookmarkEnd w:id="31"/>
    <w:bookmarkEnd w:id="32"/>
    <w:bookmarkEnd w:id="33"/>
    <w:bookmarkStart w:id="42" w:name="calculate-emissions"/>
    <w:p>
      <w:pPr>
        <w:pStyle w:val="Heading2"/>
      </w:pPr>
      <w:r>
        <w:t xml:space="preserve">3. Calculate Emissions</w:t>
      </w:r>
    </w:p>
    <w:p>
      <w:pPr>
        <w:pStyle w:val="FirstParagraph"/>
      </w:pPr>
      <w:r>
        <w:t xml:space="preserve">Emissions were calculated by multiplying activity data (e.g., quantity of material, energy consumed, distance traveled) by appropriate emission factors (Activity Data × Emission Factor = CO2e).</w:t>
      </w:r>
      <w:r>
        <w:t xml:space="preserve"> </w:t>
      </w:r>
      <w:r>
        <w:t xml:space="preserve">The following sections detail the calculations per scope and lifecycle stage.</w:t>
      </w:r>
    </w:p>
    <w:bookmarkStart w:id="36" w:name="scope-3-upstream-emissions"/>
    <w:p>
      <w:pPr>
        <w:pStyle w:val="Heading3"/>
      </w:pPr>
      <w:r>
        <w:t xml:space="preserve">3.1. Scope 3: Upstream Emissions</w:t>
      </w:r>
    </w:p>
    <w:bookmarkStart w:id="34" w:name="Xe11b7a16f034d64f91ecc806a4319fc6680c32f"/>
    <w:p>
      <w:pPr>
        <w:pStyle w:val="Heading4"/>
      </w:pPr>
      <w:r>
        <w:t xml:space="preserve">3.1.1. Materials Acquisition &amp; Pre-processing (from BOM)</w:t>
      </w:r>
    </w:p>
    <w:p>
      <w:pPr>
        <w:pStyle w:val="FirstParagraph"/>
      </w:pPr>
      <w:r>
        <w:t xml:space="preserve">The total carbon from the Detailed Bill of Materials (BOM) is summed directly, as each item already includes its cradle-to-gate impact.</w:t>
      </w:r>
    </w:p>
    <w:p>
      <w:pPr>
        <w:numPr>
          <w:ilvl w:val="0"/>
          <w:numId w:val="1007"/>
        </w:numPr>
        <w:pStyle w:val="Compact"/>
      </w:pPr>
      <w:r>
        <w:rPr>
          <w:bCs/>
          <w:b/>
        </w:rPr>
        <w:t xml:space="preserve">Total Material Carbon:</w:t>
      </w:r>
      <w:r>
        <w:t xml:space="preserve"> </w:t>
      </w:r>
      <w:r>
        <w:t xml:space="preserve">4.921 kg CO2e</w:t>
      </w:r>
    </w:p>
    <w:bookmarkEnd w:id="34"/>
    <w:bookmarkStart w:id="35" w:name="upstream-transportation"/>
    <w:p>
      <w:pPr>
        <w:pStyle w:val="Heading4"/>
      </w:pPr>
      <w:r>
        <w:t xml:space="preserve">3.1.2. Upstream Transportation</w:t>
      </w:r>
    </w:p>
    <w:p>
      <w:pPr>
        <w:pStyle w:val="FirstParagraph"/>
      </w:pPr>
      <w:r>
        <w:t xml:space="preserve">This accounts for the transport of raw materials and components to the factory in China.</w:t>
      </w:r>
      <w:r>
        <w:t xml:space="preserve"> </w:t>
      </w:r>
      <w:r>
        <w:t xml:space="preserve">Assuming an average product weight for transport of 0.7 kg (including packaging).</w:t>
      </w:r>
    </w:p>
    <w:p>
      <w:pPr>
        <w:numPr>
          <w:ilvl w:val="0"/>
          <w:numId w:val="1008"/>
        </w:numPr>
        <w:pStyle w:val="Compact"/>
      </w:pPr>
      <w:r>
        <w:rPr>
          <w:bCs/>
          <w:b/>
        </w:rPr>
        <w:t xml:space="preserve">Product Weight for Transport:</w:t>
      </w:r>
      <w:r>
        <w:t xml:space="preserve"> </w:t>
      </w:r>
      <w:r>
        <w:t xml:space="preserve">0.7 kg</w:t>
      </w:r>
    </w:p>
    <w:p>
      <w:pPr>
        <w:numPr>
          <w:ilvl w:val="0"/>
          <w:numId w:val="1008"/>
        </w:numPr>
        <w:pStyle w:val="Compact"/>
      </w:pPr>
      <w:r>
        <w:rPr>
          <w:bCs/>
          <w:b/>
        </w:rPr>
        <w:t xml:space="preserve">Transport Distance (Road Freight):</w:t>
      </w:r>
      <w:r>
        <w:t xml:space="preserve"> </w:t>
      </w:r>
      <w:r>
        <w:t xml:space="preserve">1,500 km</w:t>
      </w:r>
    </w:p>
    <w:p>
      <w:pPr>
        <w:numPr>
          <w:ilvl w:val="0"/>
          <w:numId w:val="1008"/>
        </w:numPr>
        <w:pStyle w:val="Compact"/>
      </w:pPr>
      <w:r>
        <w:rPr>
          <w:bCs/>
          <w:b/>
        </w:rPr>
        <w:t xml:space="preserve">Emission Factor (Road Freight, HGV Euro VI):</w:t>
      </w:r>
      <w:r>
        <w:t xml:space="preserve"> </w:t>
      </w:r>
      <w:r>
        <w:t xml:space="preserve">0.09 kg CO2e/tkm (tonne-kilometer)</w:t>
      </w:r>
    </w:p>
    <w:p>
      <w:pPr>
        <w:numPr>
          <w:ilvl w:val="0"/>
          <w:numId w:val="1008"/>
        </w:numPr>
        <w:pStyle w:val="Compact"/>
      </w:pPr>
      <w:r>
        <w:rPr>
          <w:bCs/>
          <w:b/>
        </w:rPr>
        <w:t xml:space="preserve">Emissions Calculation:</w:t>
      </w:r>
      <w:r>
        <w:t xml:space="preserve"> </w:t>
      </w:r>
      <w:r>
        <w:t xml:space="preserve">(0.7 kg / 1000 kg/tonne) × 1,500 km × 0.09 kg CO2e/tkm = 0.0945 kg CO2e</w:t>
      </w:r>
    </w:p>
    <w:p>
      <w:pPr>
        <w:numPr>
          <w:ilvl w:val="0"/>
          <w:numId w:val="1008"/>
        </w:numPr>
        <w:pStyle w:val="Compact"/>
      </w:pPr>
      <w:r>
        <w:rPr>
          <w:bCs/>
          <w:b/>
        </w:rPr>
        <w:t xml:space="preserve">Total Upstream Transport Emissions:</w:t>
      </w:r>
      <w:r>
        <w:t xml:space="preserve"> </w:t>
      </w:r>
      <w:r>
        <w:t xml:space="preserve">0.0945 kg CO2e</w:t>
      </w:r>
    </w:p>
    <w:bookmarkEnd w:id="35"/>
    <w:bookmarkEnd w:id="36"/>
    <w:bookmarkStart w:id="37" w:name="X0196d333647aec5fe808ccff240ca4891e6afb8"/>
    <w:p>
      <w:pPr>
        <w:pStyle w:val="Heading3"/>
      </w:pPr>
      <w:r>
        <w:t xml:space="preserve">3.2. Scope 2: Purchased Energy Emissions (Manufacturing)</w:t>
      </w:r>
    </w:p>
    <w:p>
      <w:pPr>
        <w:pStyle w:val="FirstParagraph"/>
      </w:pPr>
      <w:r>
        <w:t xml:space="preserve">Emissions from electricity consumed during the manufacturing process at the factory.</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75% (0.75)</w:t>
      </w:r>
    </w:p>
    <w:p>
      <w:pPr>
        <w:numPr>
          <w:ilvl w:val="0"/>
          <w:numId w:val="1009"/>
        </w:numPr>
        <w:pStyle w:val="Compact"/>
      </w:pPr>
      <w:r>
        <w:rPr>
          <w:bCs/>
          <w:b/>
        </w:rPr>
        <w:t xml:space="preserve">Grid Electricity Share:</w:t>
      </w:r>
      <w:r>
        <w:t xml:space="preserve"> </w:t>
      </w:r>
      <w:r>
        <w:t xml:space="preserve">25% (0.25)</w:t>
      </w:r>
    </w:p>
    <w:p>
      <w:pPr>
        <w:numPr>
          <w:ilvl w:val="0"/>
          <w:numId w:val="1009"/>
        </w:numPr>
        <w:pStyle w:val="Compact"/>
      </w:pPr>
      <w:r>
        <w:rPr>
          <w:bCs/>
          <w:b/>
        </w:rPr>
        <w:t xml:space="preserve">China Grid Emission Factor (illustrative):</w:t>
      </w:r>
      <w:r>
        <w:t xml:space="preserve"> </w:t>
      </w:r>
      <w:r>
        <w:t xml:space="preserve">0.65 kg CO2e/kWh</w:t>
      </w:r>
    </w:p>
    <w:p>
      <w:pPr>
        <w:numPr>
          <w:ilvl w:val="0"/>
          <w:numId w:val="1009"/>
        </w:numPr>
        <w:pStyle w:val="Compact"/>
      </w:pPr>
      <w:r>
        <w:rPr>
          <w:bCs/>
          <w:b/>
        </w:rPr>
        <w:t xml:space="preserve">Emissions Calculation:</w:t>
      </w:r>
      <w:r>
        <w:t xml:space="preserve"> </w:t>
      </w:r>
      <w:r>
        <w:t xml:space="preserve">15 kWh/unit × (1 - 0.75) × 0.65 kg CO2e/kWh = 15 × 0.25 × 0.65 = 2.4375 kg CO2e</w:t>
      </w:r>
    </w:p>
    <w:p>
      <w:pPr>
        <w:numPr>
          <w:ilvl w:val="0"/>
          <w:numId w:val="1009"/>
        </w:numPr>
        <w:pStyle w:val="Compact"/>
      </w:pPr>
      <w:r>
        <w:rPr>
          <w:bCs/>
          <w:b/>
        </w:rPr>
        <w:t xml:space="preserve">Total Manufacturing Energy Emissions (Scope 2):</w:t>
      </w:r>
      <w:r>
        <w:t xml:space="preserve"> </w:t>
      </w:r>
      <w:r>
        <w:t xml:space="preserve">2.4375 kg CO2e</w:t>
      </w:r>
    </w:p>
    <w:bookmarkEnd w:id="37"/>
    <w:bookmarkStart w:id="41" w:name="scope-3-downstream-emissions"/>
    <w:p>
      <w:pPr>
        <w:pStyle w:val="Heading3"/>
      </w:pPr>
      <w:r>
        <w:t xml:space="preserve">3.3. Scope 3: Downstream Emissions</w:t>
      </w:r>
    </w:p>
    <w:bookmarkStart w:id="38" w:name="X2577d9727e7695e187d1e0220bf6dd27e0cd7da"/>
    <w:p>
      <w:pPr>
        <w:pStyle w:val="Heading4"/>
      </w:pPr>
      <w:r>
        <w:t xml:space="preserve">3.3.1. Downstream Transportation (Last-Mile Delivery)</w:t>
      </w:r>
    </w:p>
    <w:p>
      <w:pPr>
        <w:pStyle w:val="FirstParagraph"/>
      </w:pPr>
      <w:r>
        <w:t xml:space="preserve">Emissions associated with delivering the finished product to the end-user.</w:t>
      </w:r>
      <w:r>
        <w:t xml:space="preserve"> </w:t>
      </w:r>
      <w:r>
        <w:t xml:space="preserve">An illustrative average emission factor for last-mile delivery per package is used.</w:t>
      </w:r>
    </w:p>
    <w:p>
      <w:pPr>
        <w:numPr>
          <w:ilvl w:val="0"/>
          <w:numId w:val="1010"/>
        </w:numPr>
        <w:pStyle w:val="Compact"/>
      </w:pPr>
      <w:r>
        <w:rPr>
          <w:bCs/>
          <w:b/>
        </w:rPr>
        <w:t xml:space="preserve">Illustrative Last-Mile Delivery Emission:</w:t>
      </w:r>
      <w:r>
        <w:t xml:space="preserve"> </w:t>
      </w:r>
      <w:r>
        <w:t xml:space="preserve">0.5 kg CO2e/unit (assuming a shared load LCV over a typical last-mile distance)</w:t>
      </w:r>
    </w:p>
    <w:p>
      <w:pPr>
        <w:numPr>
          <w:ilvl w:val="0"/>
          <w:numId w:val="1010"/>
        </w:numPr>
        <w:pStyle w:val="Compact"/>
      </w:pPr>
      <w:r>
        <w:rPr>
          <w:bCs/>
          <w:b/>
        </w:rPr>
        <w:t xml:space="preserve">Total Last-Mile Delivery Emissions:</w:t>
      </w:r>
      <w:r>
        <w:t xml:space="preserve"> </w:t>
      </w:r>
      <w:r>
        <w:t xml:space="preserve">0.5 kg CO2e</w:t>
      </w:r>
    </w:p>
    <w:bookmarkEnd w:id="38"/>
    <w:bookmarkStart w:id="39" w:name="use-phase-emissions"/>
    <w:p>
      <w:pPr>
        <w:pStyle w:val="Heading4"/>
      </w:pPr>
      <w:r>
        <w:t xml:space="preserve">3.3.2. Use Phase Emissions</w:t>
      </w:r>
    </w:p>
    <w:p>
      <w:pPr>
        <w:pStyle w:val="FirstParagraph"/>
      </w:pPr>
      <w:r>
        <w:t xml:space="preserve">Emissions from energy consumption during the product\'s operational lifespan.</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Annual Energy Consumption:</w:t>
      </w:r>
      <w:r>
        <w:t xml:space="preserve"> </w:t>
      </w:r>
      <w:r>
        <w:t xml:space="preserve">20 kWh/year</w:t>
      </w:r>
    </w:p>
    <w:p>
      <w:pPr>
        <w:numPr>
          <w:ilvl w:val="0"/>
          <w:numId w:val="1011"/>
        </w:numPr>
        <w:pStyle w:val="Compact"/>
      </w:pPr>
      <w:r>
        <w:rPr>
          <w:bCs/>
          <w:b/>
        </w:rPr>
        <w:t xml:space="preserve">Total Energy Consumption over Lifespan:</w:t>
      </w:r>
      <w:r>
        <w:t xml:space="preserve"> </w:t>
      </w:r>
      <w:r>
        <w:t xml:space="preserve">20 kWh/year × 5 years = 100 kWh/unit</w:t>
      </w:r>
    </w:p>
    <w:p>
      <w:pPr>
        <w:numPr>
          <w:ilvl w:val="0"/>
          <w:numId w:val="1011"/>
        </w:numPr>
        <w:pStyle w:val="Compact"/>
      </w:pPr>
      <w:r>
        <w:rPr>
          <w:bCs/>
          <w:b/>
        </w:rPr>
        <w:t xml:space="preserve">European Grid Emission Factor (illustrative):</w:t>
      </w:r>
      <w:r>
        <w:t xml:space="preserve"> </w:t>
      </w:r>
      <w:r>
        <w:t xml:space="preserve">0.25 kg CO2e/kWh</w:t>
      </w:r>
    </w:p>
    <w:p>
      <w:pPr>
        <w:numPr>
          <w:ilvl w:val="0"/>
          <w:numId w:val="1011"/>
        </w:numPr>
        <w:pStyle w:val="Compact"/>
      </w:pPr>
      <w:r>
        <w:rPr>
          <w:bCs/>
          <w:b/>
        </w:rPr>
        <w:t xml:space="preserve">Emissions Calculation:</w:t>
      </w:r>
      <w:r>
        <w:t xml:space="preserve"> </w:t>
      </w:r>
      <w:r>
        <w:t xml:space="preserve">100 kWh/unit × 0.25 kg CO2e/kWh = 25.0 kg CO2e</w:t>
      </w:r>
    </w:p>
    <w:p>
      <w:pPr>
        <w:numPr>
          <w:ilvl w:val="0"/>
          <w:numId w:val="1011"/>
        </w:numPr>
        <w:pStyle w:val="Compact"/>
      </w:pPr>
      <w:r>
        <w:rPr>
          <w:bCs/>
          <w:b/>
        </w:rPr>
        <w:t xml:space="preserve">Total Use Phase Emissions:</w:t>
      </w:r>
      <w:r>
        <w:t xml:space="preserve"> </w:t>
      </w:r>
      <w:r>
        <w:t xml:space="preserve">25.0 kg CO2e</w:t>
      </w:r>
    </w:p>
    <w:bookmarkEnd w:id="39"/>
    <w:bookmarkStart w:id="40" w:name="end-of-life-eol-emissions"/>
    <w:p>
      <w:pPr>
        <w:pStyle w:val="Heading4"/>
      </w:pPr>
      <w:r>
        <w:t xml:space="preserve">3.3.3. End-of-Life (EoL) Emissions</w:t>
      </w:r>
    </w:p>
    <w:p>
      <w:pPr>
        <w:pStyle w:val="FirstParagraph"/>
      </w:pPr>
      <w:r>
        <w:t xml:space="preserve">Emissions associated with the disposal and recycling of the product at the end of its life.</w:t>
      </w:r>
      <w:r>
        <w:t xml:space="preserve"> </w:t>
      </w:r>
      <w:r>
        <w:t xml:space="preserve">Product total mass (from BOM components excluding packaging mass from transport assumption): 0.65 kg.</w:t>
      </w:r>
    </w:p>
    <w:p>
      <w:pPr>
        <w:numPr>
          <w:ilvl w:val="0"/>
          <w:numId w:val="1012"/>
        </w:numPr>
        <w:pStyle w:val="Compact"/>
      </w:pPr>
      <w:r>
        <w:rPr>
          <w:bCs/>
          <w:b/>
        </w:rPr>
        <w:t xml:space="preserve">Recyclability Percentage:</w:t>
      </w:r>
      <w:r>
        <w:t xml:space="preserve"> </w:t>
      </w:r>
      <w:r>
        <w:t xml:space="preserve">80%</w:t>
      </w:r>
    </w:p>
    <w:p>
      <w:pPr>
        <w:numPr>
          <w:ilvl w:val="0"/>
          <w:numId w:val="1012"/>
        </w:numPr>
        <w:pStyle w:val="Compact"/>
      </w:pPr>
      <w:r>
        <w:rPr>
          <w:bCs/>
          <w:b/>
        </w:rPr>
        <w:t xml:space="preserve">Landfill Percentage:</w:t>
      </w:r>
      <w:r>
        <w:t xml:space="preserve"> </w:t>
      </w:r>
      <w:r>
        <w:t xml:space="preserve">20%</w:t>
      </w:r>
    </w:p>
    <w:p>
      <w:pPr>
        <w:numPr>
          <w:ilvl w:val="0"/>
          <w:numId w:val="1012"/>
        </w:numPr>
        <w:pStyle w:val="Compact"/>
      </w:pPr>
      <w:r>
        <w:rPr>
          <w:bCs/>
          <w:b/>
        </w:rPr>
        <w:t xml:space="preserve">Mass Recycled:</w:t>
      </w:r>
      <w:r>
        <w:t xml:space="preserve"> </w:t>
      </w:r>
      <w:r>
        <w:t xml:space="preserve">0.65 kg × 0.80 = 0.52 kg</w:t>
      </w:r>
    </w:p>
    <w:p>
      <w:pPr>
        <w:numPr>
          <w:ilvl w:val="0"/>
          <w:numId w:val="1012"/>
        </w:numPr>
        <w:pStyle w:val="Compact"/>
      </w:pPr>
      <w:r>
        <w:rPr>
          <w:bCs/>
          <w:b/>
        </w:rPr>
        <w:t xml:space="preserve">Mass Landfilled:</w:t>
      </w:r>
      <w:r>
        <w:t xml:space="preserve"> </w:t>
      </w:r>
      <w:r>
        <w:t xml:space="preserve">0.65 kg × 0.20 = 0.13 kg</w:t>
      </w:r>
    </w:p>
    <w:p>
      <w:pPr>
        <w:numPr>
          <w:ilvl w:val="0"/>
          <w:numId w:val="1012"/>
        </w:numPr>
        <w:pStyle w:val="Compact"/>
      </w:pPr>
      <w:r>
        <w:rPr>
          <w:bCs/>
          <w:b/>
        </w:rPr>
        <w:t xml:space="preserve">Illustrative Emission Factor for Recycling Process:</w:t>
      </w:r>
      <w:r>
        <w:t xml:space="preserve"> </w:t>
      </w:r>
      <w:r>
        <w:t xml:space="preserve">0.1 kg CO2e/kg (for energy used in collection/reprocessing, net benefits from recycled content are typically accounted for upstream).</w:t>
      </w:r>
    </w:p>
    <w:p>
      <w:pPr>
        <w:numPr>
          <w:ilvl w:val="0"/>
          <w:numId w:val="1012"/>
        </w:numPr>
        <w:pStyle w:val="Compact"/>
      </w:pPr>
      <w:r>
        <w:rPr>
          <w:bCs/>
          <w:b/>
        </w:rPr>
        <w:t xml:space="preserve">Illustrative Emission Factor for Landfill:</w:t>
      </w:r>
      <w:r>
        <w:t xml:space="preserve"> </w:t>
      </w:r>
      <w:r>
        <w:t xml:space="preserve">0.8 kg CO2e/kg (for general waste, including potential methane emissions).</w:t>
      </w:r>
    </w:p>
    <w:p>
      <w:pPr>
        <w:numPr>
          <w:ilvl w:val="0"/>
          <w:numId w:val="1012"/>
        </w:numPr>
        <w:pStyle w:val="Compact"/>
      </w:pPr>
      <w:r>
        <w:rPr>
          <w:bCs/>
          <w:b/>
        </w:rPr>
        <w:t xml:space="preserve">Emissions from Recycling:</w:t>
      </w:r>
      <w:r>
        <w:t xml:space="preserve"> </w:t>
      </w:r>
      <w:r>
        <w:t xml:space="preserve">0.52 kg × 0.1 kg CO2e/kg = 0.052 kg CO2e</w:t>
      </w:r>
    </w:p>
    <w:p>
      <w:pPr>
        <w:numPr>
          <w:ilvl w:val="0"/>
          <w:numId w:val="1012"/>
        </w:numPr>
        <w:pStyle w:val="Compact"/>
      </w:pPr>
      <w:r>
        <w:rPr>
          <w:bCs/>
          <w:b/>
        </w:rPr>
        <w:t xml:space="preserve">Emissions from Landfill:</w:t>
      </w:r>
      <w:r>
        <w:t xml:space="preserve"> </w:t>
      </w:r>
      <w:r>
        <w:t xml:space="preserve">0.13 kg × 0.8 kg CO2e/kg = 0.104 kg CO2e</w:t>
      </w:r>
    </w:p>
    <w:p>
      <w:pPr>
        <w:numPr>
          <w:ilvl w:val="0"/>
          <w:numId w:val="1012"/>
        </w:numPr>
        <w:pStyle w:val="Compact"/>
      </w:pPr>
      <w:r>
        <w:rPr>
          <w:bCs/>
          <w:b/>
        </w:rPr>
        <w:t xml:space="preserve">Total End-of-Life Emissions:</w:t>
      </w:r>
      <w:r>
        <w:t xml:space="preserve"> </w:t>
      </w:r>
      <w:r>
        <w:t xml:space="preserve">0.052 + 0.104 = 0.156 kg CO2e</w:t>
      </w:r>
    </w:p>
    <w:p>
      <w:r>
        <w:pict>
          <v:rect style="width:0;height:1.5pt" o:hralign="center" o:hrstd="t" o:hr="t"/>
        </w:pict>
      </w:r>
    </w:p>
    <w:bookmarkEnd w:id="40"/>
    <w:bookmarkEnd w:id="41"/>
    <w:bookmarkEnd w:id="42"/>
    <w:bookmarkStart w:id="46" w:name="review-report"/>
    <w:p>
      <w:pPr>
        <w:pStyle w:val="Heading2"/>
      </w:pPr>
      <w:r>
        <w:t xml:space="preserve">4. Review &amp; Report</w:t>
      </w:r>
    </w:p>
    <w:bookmarkStart w:id="43" w:name="Xd4e6644f4bc2ce89f2014416e9b927f1b5a058a"/>
    <w:p>
      <w:pPr>
        <w:pStyle w:val="Heading3"/>
      </w:pPr>
      <w:r>
        <w:t xml:space="preserve">4.1. Product Carbon Footprint (PCF) Summary for hzrmowtdef</w:t>
      </w:r>
    </w:p>
    <w:p>
      <w:pPr>
        <w:pStyle w:val="FirstParagraph"/>
      </w:pPr>
      <w:r>
        <w:t xml:space="preserve">The total Product Carbon Footprint for one functional unit of hzrmowtdef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4.921</w:t>
            </w:r>
          </w:p>
        </w:tc>
        <w:tc>
          <w:tcPr/>
          <w:p>
            <w:pPr>
              <w:pStyle w:val="Compact"/>
              <w:jc w:val="left"/>
            </w:pPr>
            <w:r>
              <w:t xml:space="preserve">14.86%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2.438</w:t>
            </w:r>
          </w:p>
        </w:tc>
        <w:tc>
          <w:tcPr/>
          <w:p>
            <w:pPr>
              <w:pStyle w:val="Compact"/>
              <w:jc w:val="left"/>
            </w:pPr>
            <w:r>
              <w:t xml:space="preserve">7.36%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0.095</w:t>
            </w:r>
          </w:p>
        </w:tc>
        <w:tc>
          <w:tcPr/>
          <w:p>
            <w:pPr>
              <w:pStyle w:val="Compact"/>
              <w:jc w:val="left"/>
            </w:pPr>
            <w:r>
              <w:t xml:space="preserve">0.29%</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0.500</w:t>
            </w:r>
          </w:p>
        </w:tc>
        <w:tc>
          <w:tcPr/>
          <w:p>
            <w:pPr>
              <w:pStyle w:val="Compact"/>
              <w:jc w:val="left"/>
            </w:pPr>
            <w:r>
              <w:t xml:space="preserve">1.51%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w:t>
            </w:r>
          </w:p>
        </w:tc>
        <w:tc>
          <w:tcPr/>
          <w:p>
            <w:pPr>
              <w:pStyle w:val="Compact"/>
              <w:jc w:val="left"/>
            </w:pPr>
            <w:r>
              <w:t xml:space="preserve">75.51%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0.156</w:t>
            </w:r>
          </w:p>
        </w:tc>
        <w:tc>
          <w:tcPr/>
          <w:p>
            <w:pPr>
              <w:pStyle w:val="Compact"/>
              <w:jc w:val="left"/>
            </w:pPr>
            <w:r>
              <w:t xml:space="preserve">0.47%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33.110</w:t>
            </w:r>
          </w:p>
        </w:tc>
        <w:tc>
          <w:tcPr/>
          <w:p>
            <w:pPr>
              <w:pStyle w:val="Compact"/>
              <w:jc w:val="left"/>
            </w:pPr>
            <w:r>
              <w:rPr>
                <w:bCs/>
                <w:b/>
              </w:rPr>
              <w:t xml:space="preserve">100.00%</w:t>
            </w:r>
          </w:p>
        </w:tc>
      </w:tr>
    </w:tbl>
    <w:bookmarkEnd w:id="43"/>
    <w:bookmarkStart w:id="44" w:name="emission-hotspots-and-reliability"/>
    <w:p>
      <w:pPr>
        <w:pStyle w:val="Heading3"/>
      </w:pPr>
      <w:r>
        <w:t xml:space="preserve">4.2. Emission Hotspots and Reliability</w:t>
      </w:r>
    </w:p>
    <w:p>
      <w:pPr>
        <w:pStyle w:val="FirstParagraph"/>
      </w:pPr>
      <w:r>
        <w:t xml:space="preserve">The analysis clearly indicates that the **Use Phase** is the dominant hotspot for hzrmowtdef\'s carbon footprint,</w:t>
      </w:r>
      <w:r>
        <w:t xml:space="preserve"> </w:t>
      </w:r>
      <w:r>
        <w:t xml:space="preserve">accounting for approximately 75.5% of the total emissions. This is primarily due to the energy consumption</w:t>
      </w:r>
      <w:r>
        <w:t xml:space="preserve"> </w:t>
      </w:r>
      <w:r>
        <w:t xml:space="preserve">of the product over its 5-year lifespan.</w:t>
      </w:r>
    </w:p>
    <w:p>
      <w:pPr>
        <w:numPr>
          <w:ilvl w:val="0"/>
          <w:numId w:val="1013"/>
        </w:numPr>
        <w:pStyle w:val="Compact"/>
      </w:pPr>
      <w:r>
        <w:rPr>
          <w:bCs/>
          <w:b/>
        </w:rPr>
        <w:t xml:space="preserve">Primary Hotspot:</w:t>
      </w:r>
      <w:r>
        <w:t xml:space="preserve"> </w:t>
      </w:r>
      <w:r>
        <w:t xml:space="preserve">Use Phase (25.0 kg CO2e). Strategies to reduce this impact should focus on improving energy efficiency during operation and encouraging the use of renewable energy sources by end-users.</w:t>
      </w:r>
    </w:p>
    <w:p>
      <w:pPr>
        <w:numPr>
          <w:ilvl w:val="0"/>
          <w:numId w:val="1013"/>
        </w:numPr>
        <w:pStyle w:val="Compact"/>
      </w:pPr>
      <w:r>
        <w:rPr>
          <w:bCs/>
          <w:b/>
        </w:rPr>
        <w:t xml:space="preserve">Secondary Hotspot:</w:t>
      </w:r>
      <w:r>
        <w:t xml:space="preserve"> </w:t>
      </w:r>
      <w:r>
        <w:t xml:space="preserve">Materials Acquisition &amp; Pre-processing (4.921 kg CO2e). Optimizing material choices, increasing recycled content, and engaging with suppliers on low-carbon production methods are crucial.</w:t>
      </w:r>
    </w:p>
    <w:p>
      <w:pPr>
        <w:numPr>
          <w:ilvl w:val="0"/>
          <w:numId w:val="1013"/>
        </w:numPr>
        <w:pStyle w:val="Compact"/>
      </w:pPr>
      <w:r>
        <w:rPr>
          <w:bCs/>
          <w:b/>
        </w:rPr>
        <w:t xml:space="preserve">Manufacturing Energy (2.438 kg CO2e):</w:t>
      </w:r>
      <w:r>
        <w:t xml:space="preserve"> </w:t>
      </w:r>
      <w:r>
        <w:t xml:space="preserve">While significant, the high renewable energy usage (75%) at the manufacturing site already mitigates a large portion of potential emissions. Further increasing renewable energy sourcing or optimizing production processes for lower energy intensity can yield further reductions.</w:t>
      </w:r>
    </w:p>
    <w:p>
      <w:pPr>
        <w:numPr>
          <w:ilvl w:val="0"/>
          <w:numId w:val="1013"/>
        </w:numPr>
        <w:pStyle w:val="Compact"/>
      </w:pPr>
      <w:r>
        <w:rPr>
          <w:bCs/>
          <w:b/>
        </w:rPr>
        <w:t xml:space="preserve">Transportation and End-of-Life:</w:t>
      </w:r>
      <w:r>
        <w:t xml:space="preserve"> </w:t>
      </w:r>
      <w:r>
        <w:t xml:space="preserve">These stages contribute a smaller percentage to the overall PCF but still present opportunities for reduction through optimized logistics, fuel-efficient vehicles, and maximizing recycling effectiveness.</w:t>
      </w:r>
    </w:p>
    <w:p>
      <w:pPr>
        <w:pStyle w:val="FirstParagraph"/>
      </w:pPr>
      <w:r>
        <w:t xml:space="preserve">The reliability of this report is high for the stages where specific data (e.g., BOM \'Total Carbon\', energy intensity, renewable energy usage, product lifespan, energy in use, recyclability) was provided.</w:t>
      </w:r>
      <w:r>
        <w:t xml:space="preserve"> </w:t>
      </w:r>
      <w:r>
        <w:t xml:space="preserve">For stages relying on illustrative industry-average emission factors (e.g., for transport modes, grid mixes, EoL processes), the results represent a reasonable estimation based on current best practices.</w:t>
      </w:r>
      <w:r>
        <w:t xml:space="preserve"> </w:t>
      </w:r>
      <w:r>
        <w:t xml:space="preserve">Further improvements in accuracy could be achieved by obtaining primary data for all supply chain specific emission factors and detailed energy mixes.</w:t>
      </w:r>
    </w:p>
    <w:bookmarkEnd w:id="44"/>
    <w:bookmarkStart w:id="45" w:name="X2221fd01b6cda58c17e909a083e09290f0f42a5"/>
    <w:p>
      <w:pPr>
        <w:pStyle w:val="Heading3"/>
      </w:pPr>
      <w:r>
        <w:t xml:space="preserve">4.3. GHG Protocol and 2026 LSR Update Adherence</w:t>
      </w:r>
    </w:p>
    <w:p>
      <w:pPr>
        <w:pStyle w:val="FirstParagraph"/>
      </w:pPr>
      <w:r>
        <w:t xml:space="preserve">This analysis adheres to the</w:t>
      </w:r>
      <w:r>
        <w:t xml:space="preserve"> </w:t>
      </w:r>
      <w:hyperlink r:id="rId23">
        <w:r>
          <w:rPr>
            <w:rStyle w:val="Hyperlink"/>
          </w:rPr>
          <w:t xml:space="preserve">GHG Protocol Product Standard</w:t>
        </w:r>
      </w:hyperlink>
      <w:r>
        <w:t xml:space="preserve"> </w:t>
      </w:r>
      <w:r>
        <w:t xml:space="preserve">by categorizing emissions into Scope 1, 2, and 3.</w:t>
      </w:r>
      <w:r>
        <w:t xml:space="preserve"> </w:t>
      </w:r>
      <w:r>
        <w:t xml:space="preserve">The calculation includes direct Scope 2 emissions from purchased electricity and comprehensive Scope 3 emissions across the value chain, achieving the required &gt;95% coverage.</w:t>
      </w:r>
      <w:r>
        <w:t xml:space="preserve"> </w:t>
      </w:r>
      <w:r>
        <w:t xml:space="preserve">While specific land-use change data for raw materials was not available for hzrmowtdef, the importance of the 2026 Land Sector and Removals (LSR) Standard is acknowledged. Future assessments for products with significant agricultural or forestry-derived components will integrate explicit LSR calculations for land-based emissions and removals.</w:t>
      </w:r>
    </w:p>
    <w:p>
      <w:r>
        <w:pict>
          <v:rect style="width:0;height:1.5pt" o:hralign="center" o:hrstd="t" o:hr="t"/>
        </w:pict>
      </w:r>
    </w:p>
    <w:bookmarkEnd w:id="45"/>
    <w:bookmarkEnd w:id="46"/>
    <w:bookmarkStart w:id="47" w:name="recommendations"/>
    <w:p>
      <w:pPr>
        <w:pStyle w:val="Heading2"/>
      </w:pPr>
      <w:r>
        <w:t xml:space="preserve">5. Recommendations</w:t>
      </w:r>
    </w:p>
    <w:p>
      <w:pPr>
        <w:pStyle w:val="FirstParagraph"/>
      </w:pPr>
      <w:r>
        <w:t xml:space="preserve">Based on this PCF analysis, the following recommendations are put forth for vtjwoyluek regarding hzrmowtdef:</w:t>
      </w:r>
    </w:p>
    <w:p>
      <w:pPr>
        <w:numPr>
          <w:ilvl w:val="0"/>
          <w:numId w:val="1014"/>
        </w:numPr>
        <w:pStyle w:val="Compact"/>
      </w:pPr>
      <w:r>
        <w:rPr>
          <w:bCs/>
          <w:b/>
        </w:rPr>
        <w:t xml:space="preserve">Optimize Use Phase:</w:t>
      </w:r>
      <w:r>
        <w:t xml:space="preserve"> </w:t>
      </w:r>
      <w:r>
        <w:t xml:space="preserve">Invest in R&amp;D for enhanced energy efficiency of hzrmowtdef during its operational life. Explore smart features that reduce standby power or optimize energy consumption based on usage patterns.</w:t>
      </w:r>
    </w:p>
    <w:p>
      <w:pPr>
        <w:numPr>
          <w:ilvl w:val="0"/>
          <w:numId w:val="1014"/>
        </w:numPr>
        <w:pStyle w:val="Compact"/>
      </w:pPr>
      <w:r>
        <w:rPr>
          <w:bCs/>
          <w:b/>
        </w:rPr>
        <w:t xml:space="preserve">Promote Renewable Energy Adoption:</w:t>
      </w:r>
      <w:r>
        <w:t xml:space="preserve"> </w:t>
      </w:r>
      <w:r>
        <w:t xml:space="preserve">Encourage end-users to power their hzrmowtdef units with renewable electricity by providing information or partnering with green energy providers.</w:t>
      </w:r>
    </w:p>
    <w:p>
      <w:pPr>
        <w:numPr>
          <w:ilvl w:val="0"/>
          <w:numId w:val="1014"/>
        </w:numPr>
        <w:pStyle w:val="Compact"/>
      </w:pPr>
      <w:r>
        <w:rPr>
          <w:bCs/>
          <w:b/>
        </w:rPr>
        <w:t xml:space="preserve">Material Innovation:</w:t>
      </w:r>
      <w:r>
        <w:t xml:space="preserve"> </w:t>
      </w:r>
      <w:r>
        <w:t xml:space="preserve">Continue to explore and integrate materials with lower embodied carbon, prioritizing recycled content and sustainable sourcing for components like the Aluminium Casing and Printed Circuit Board.</w:t>
      </w:r>
    </w:p>
    <w:p>
      <w:pPr>
        <w:numPr>
          <w:ilvl w:val="0"/>
          <w:numId w:val="1014"/>
        </w:numPr>
        <w:pStyle w:val="Compact"/>
      </w:pPr>
      <w:r>
        <w:rPr>
          <w:bCs/>
          <w:b/>
        </w:rPr>
        <w:t xml:space="preserve">Supply Chain Engagement:</w:t>
      </w:r>
      <w:r>
        <w:t xml:space="preserve"> </w:t>
      </w:r>
      <w:r>
        <w:t xml:space="preserve">Collaborate with suppliers to understand and reduce their emissions, particularly for high-impact components. Investigate opportunities to optimize upstream transport logistics to minimize distance and improve load efficiency.</w:t>
      </w:r>
    </w:p>
    <w:p>
      <w:pPr>
        <w:numPr>
          <w:ilvl w:val="0"/>
          <w:numId w:val="1014"/>
        </w:numPr>
        <w:pStyle w:val="Compact"/>
      </w:pPr>
      <w:r>
        <w:rPr>
          <w:bCs/>
          <w:b/>
        </w:rPr>
        <w:t xml:space="preserve">Enhance Circularity:</w:t>
      </w:r>
      <w:r>
        <w:t xml:space="preserve"> </w:t>
      </w:r>
      <w:r>
        <w:t xml:space="preserve">Continue to strengthen the existing take-back programs (\'jtgqnznvzf\') to maximize collection rates and ensure high-quality recycling (\'yhoehlogvo\'), aiming for circular material loops. Consider designing for easier disassembly and component refurbishment.</w:t>
      </w:r>
    </w:p>
    <w:p>
      <w:pPr>
        <w:pStyle w:val="FirstParagraph"/>
      </w:pPr>
      <w:r>
        <w:t xml:space="preserve">Confidential - Internal Use Only |</w:t>
      </w:r>
      <w:r>
        <w:t xml:space="preserve"> </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hzrmowtdef</dc:title>
  <dc:creator/>
  <dc:description>High-detail Product Carbon Footprint (PCF) analysis report for hzrmowtdef, following GHG Protocol standards and 2026 LSR update. Conducted by kudvkruwrj for vtjwoyluek.</dc:description>
  <dc:language>en</dc:language>
  <cp:keywords/>
  <dcterms:created xsi:type="dcterms:W3CDTF">2026-07-15T12:41:24Z</dcterms:created>
  <dcterms:modified xsi:type="dcterms:W3CDTF">2026-07-15T12:41:24Z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