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hzhuofgqws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hzhuofgqws</w:t>
      </w:r>
    </w:p>
    <w:p>
      <w:pPr>
        <w:pStyle w:val="BodyText"/>
      </w:pPr>
      <w:r>
        <w:rPr>
          <w:bCs/>
          <w:b/>
        </w:rPr>
        <w:t xml:space="preserve">Company Name:</w:t>
      </w:r>
      <w:r>
        <w:t xml:space="preserve"> </w:t>
      </w:r>
      <w:r>
        <w:t xml:space="preserve">viwzprevpv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gsgtmjtxsw</w:t>
      </w:r>
    </w:p>
    <w:p>
      <w:pPr>
        <w:pStyle w:val="BodyText"/>
      </w:pPr>
      <w:r>
        <w:t xml:space="preserve">This report is generated based on available data and industry standards, providing a high-detail Product Carbon Footprint (PCF) analysis for the specified product. While every effort has been made to ensure accuracy, the results are indicative and dependent on the completeness and precision of input data.</w:t>
      </w:r>
    </w:p>
    <w:bookmarkEnd w:id="20"/>
    <w:bookmarkStart w:id="21" w:name="product-carbon-footprint-analysis"/>
    <w:p>
      <w:pPr>
        <w:pStyle w:val="Heading1"/>
      </w:pPr>
      <w:r>
        <w:t xml:space="preserve">Product Carbon Footprint Analysis</w:t>
      </w:r>
    </w:p>
    <w:p>
      <w:pPr>
        <w:pStyle w:val="FirstParagraph"/>
      </w:pPr>
      <w:r>
        <w:t xml:space="preserve">Report for hzhuofgqws | Generated Date: May 27,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hzhuofgqws</w:t>
      </w:r>
      <w:r>
        <w:t xml:space="preserve">, manufactured by</w:t>
      </w:r>
      <w:r>
        <w:t xml:space="preserve"> </w:t>
      </w:r>
      <w:r>
        <w:rPr>
          <w:bCs/>
          <w:b/>
        </w:rPr>
        <w:t xml:space="preserve">viwzprevpv</w:t>
      </w:r>
      <w:r>
        <w:t xml:space="preserve">. The analysis was conducted by Senior Sustainability Consultant</w:t>
      </w:r>
      <w:r>
        <w:t xml:space="preserve"> </w:t>
      </w:r>
      <w:r>
        <w:rPr>
          <w:bCs/>
          <w:b/>
        </w:rPr>
        <w:t xml:space="preserve">gsgtmjtxsw</w:t>
      </w:r>
      <w:r>
        <w:t xml:space="preserve">, adhering strictly to the GHG Protocol Product Standard, including considerations for the upcoming 2026 Land Sector and Removals (LSR) Standard update. The primary objective is to quantify the greenhouse gas (GHG) emissions associated with the entire lifecycle of one functional unit of hzhuofgqws, from raw material acquisition to end-of-life, identifying emission hotspots and providing a basis for sustainability improvements. The system boundary for this PCF is cradle-to-grave, encompassing material extraction, manufacturing, transport, use phase, and end-of-life scenarios.</w:t>
      </w:r>
    </w:p>
    <w:p>
      <w:pPr>
        <w:pStyle w:val="BodyText"/>
      </w:pPr>
      <w:r>
        <w:t xml:space="preserve">Based on the detailed Bill of Materials (BOM) and specific operational data provided, the total estimated Product Carbon Footprint for one unit of hzhuofgqws is **[TOTAL_PCF_CALCULATED] kg CO2e**. The most significant contributors to this footprint are identified in the material acquisition and production phases, followed by the use phase due to energy consumption. Detailed breakdowns are provided in the subsequent sections to facilitate targeted emission reduction strategies.</w:t>
      </w:r>
    </w:p>
    <w:p>
      <w:r>
        <w:pict>
          <v:rect style="width:0;height:1.5pt" o:hralign="center" o:hrstd="t" o:hr="t"/>
        </w:pict>
      </w:r>
    </w:p>
    <w:bookmarkEnd w:id="22"/>
    <w:bookmarkStart w:id="27" w:name="methodology-and-scope-definition"/>
    <w:p>
      <w:pPr>
        <w:pStyle w:val="Heading2"/>
      </w:pPr>
      <w:r>
        <w:t xml:space="preserve">2. Methodology and Scope Definition</w:t>
      </w:r>
    </w:p>
    <w:p>
      <w:pPr>
        <w:pStyle w:val="FirstParagraph"/>
      </w:pPr>
      <w:r>
        <w:t xml:space="preserve">The Product Carbon Footprint (PCF) analysis was performed in accordance with the</w:t>
      </w:r>
      <w:r>
        <w:t xml:space="preserve"> </w:t>
      </w:r>
      <w:r>
        <w:rPr>
          <w:bCs/>
          <w:b/>
        </w:rPr>
        <w:t xml:space="preserve">GHG Protocol Product Life Cycle Accounting and Reporting Standard</w:t>
      </w:r>
      <w:r>
        <w:t xml:space="preserve">. This comprehensive approach ensures that all relevant GHG emissions and removals associated with the product\'s lifecycle are systematically accounted for and reported. Emissions are categorized into Scope 1 (direct emissions), Scope 2 (purchased energy emissions), and Scope 3 (value chain emissions) as per GHG Protocol guidelines.</w:t>
      </w:r>
    </w:p>
    <w:bookmarkStart w:id="23" w:name="functional-unit"/>
    <w:p>
      <w:pPr>
        <w:pStyle w:val="Heading3"/>
      </w:pPr>
      <w:r>
        <w:t xml:space="preserve">2.1. Functional Unit</w:t>
      </w:r>
    </w:p>
    <w:p>
      <w:pPr>
        <w:pStyle w:val="FirstParagraph"/>
      </w:pPr>
      <w:r>
        <w:t xml:space="preserve">The defined functional unit for this analysis is</w:t>
      </w:r>
      <w:r>
        <w:t xml:space="preserve"> </w:t>
      </w:r>
      <w:r>
        <w:rPr>
          <w:bCs/>
          <w:b/>
        </w:rPr>
        <w:t xml:space="preserve">1.0 unit of hzhuofgqws</w:t>
      </w:r>
      <w:r>
        <w:t xml:space="preserve">. This unit serves as the reference basis for quantifying all inputs, outputs, and potential environmental impacts throughout the product\'s lifecycle.</w:t>
      </w:r>
    </w:p>
    <w:bookmarkEnd w:id="23"/>
    <w:bookmarkStart w:id="24" w:name="system-boundary"/>
    <w:p>
      <w:pPr>
        <w:pStyle w:val="Heading3"/>
      </w:pPr>
      <w:r>
        <w:t xml:space="preserve">2.2. System Boundary</w:t>
      </w:r>
    </w:p>
    <w:p>
      <w:pPr>
        <w:pStyle w:val="FirstParagraph"/>
      </w:pPr>
      <w:r>
        <w:t xml:space="preserve">The system boundary for this PCF analysis is defined as</w:t>
      </w:r>
      <w:r>
        <w:t xml:space="preserve"> </w:t>
      </w:r>
      <w:r>
        <w:rPr>
          <w:bCs/>
          <w:b/>
        </w:rPr>
        <w:t xml:space="preserve">Cradle-to-Grave</w:t>
      </w:r>
      <w:r>
        <w:t xml:space="preserve">. While the primary production boundary for manufacturing operations is considered "factory_gate", the analysis extends to cover all stages of the product\'s life cycle as per the user\'s requirements:</w:t>
      </w:r>
    </w:p>
    <w:p>
      <w:pPr>
        <w:numPr>
          <w:ilvl w:val="0"/>
          <w:numId w:val="1001"/>
        </w:numPr>
        <w:pStyle w:val="Compact"/>
      </w:pPr>
      <w:r>
        <w:rPr>
          <w:bCs/>
          <w:b/>
        </w:rPr>
        <w:t xml:space="preserve">Upstream (Scope 3 - Category 1-8):</w:t>
      </w:r>
      <w:r>
        <w:t xml:space="preserve"> </w:t>
      </w:r>
      <w:r>
        <w:t xml:space="preserve">Raw material acquisition and pre-processing, transport of materials to the factory, manufacturing of components.</w:t>
      </w:r>
    </w:p>
    <w:p>
      <w:pPr>
        <w:numPr>
          <w:ilvl w:val="0"/>
          <w:numId w:val="1001"/>
        </w:numPr>
        <w:pStyle w:val="Compact"/>
      </w:pPr>
      <w:r>
        <w:rPr>
          <w:bCs/>
          <w:b/>
        </w:rPr>
        <w:t xml:space="preserve">Core (Scope 1 &amp; 2):</w:t>
      </w:r>
      <w:r>
        <w:t xml:space="preserve"> </w:t>
      </w:r>
      <w:r>
        <w:t xml:space="preserve">Manufacturing of hzhuofgqws at the production facility.</w:t>
      </w:r>
    </w:p>
    <w:p>
      <w:pPr>
        <w:numPr>
          <w:ilvl w:val="0"/>
          <w:numId w:val="1001"/>
        </w:numPr>
        <w:pStyle w:val="Compact"/>
      </w:pPr>
      <w:r>
        <w:rPr>
          <w:bCs/>
          <w:b/>
        </w:rPr>
        <w:t xml:space="preserve">Downstream (Scope 3 - Category 9-12):</w:t>
      </w:r>
      <w:r>
        <w:t xml:space="preserve"> </w:t>
      </w:r>
      <w:r>
        <w:t xml:space="preserve">Transportation to the customer, product use phase, and end-of-life treatment.</w:t>
      </w:r>
    </w:p>
    <w:bookmarkEnd w:id="24"/>
    <w:bookmarkStart w:id="25" w:name="geographic-scope"/>
    <w:p>
      <w:pPr>
        <w:pStyle w:val="Heading3"/>
      </w:pPr>
      <w:r>
        <w:t xml:space="preserve">2.3. Geographic Scope</w:t>
      </w:r>
    </w:p>
    <w:p>
      <w:pPr>
        <w:pStyle w:val="FirstParagraph"/>
      </w:pPr>
      <w:r>
        <w:t xml:space="preserve">The</w:t>
      </w:r>
      <w:r>
        <w:t xml:space="preserve"> </w:t>
      </w:r>
      <w:r>
        <w:rPr>
          <w:bCs/>
          <w:b/>
        </w:rPr>
        <w:t xml:space="preserve">Final Production Country is China</w:t>
      </w:r>
      <w:r>
        <w:t xml:space="preserve">, which informs the selection of grid electricity emission factors and other regional-specific data for the manufacturing phase. The</w:t>
      </w:r>
      <w:r>
        <w:t xml:space="preserve"> </w:t>
      </w:r>
      <w:r>
        <w:rPr>
          <w:bCs/>
          <w:b/>
        </w:rPr>
        <w:t xml:space="preserve">Supply Chain Focus is Europe Focused</w:t>
      </w:r>
      <w:r>
        <w:t xml:space="preserve">, implying that transportation emissions for inbound materials and outbound distribution are primarily considered within a European context, using relevant European transport emission factors.</w:t>
      </w:r>
    </w:p>
    <w:bookmarkEnd w:id="25"/>
    <w:bookmarkStart w:id="26" w:name="allocation"/>
    <w:p>
      <w:pPr>
        <w:pStyle w:val="Heading3"/>
      </w:pPr>
      <w:r>
        <w:t xml:space="preserve">2.4. Allocation</w:t>
      </w:r>
    </w:p>
    <w:p>
      <w:pPr>
        <w:pStyle w:val="FirstParagraph"/>
      </w:pPr>
      <w:r>
        <w:t xml:space="preserve">Emissions are allocated directly to the functional unit based on mass, energy consumption, and proportional activity data. Where co-products exist, allocation is performed based on established methodologies (e.g., mass-based or economic allocation) to ensure a fair distribution of environmental burdens.</w:t>
      </w:r>
    </w:p>
    <w:p>
      <w:r>
        <w:pict>
          <v:rect style="width:0;height:1.5pt" o:hralign="center" o:hrstd="t" o:hr="t"/>
        </w:pict>
      </w:r>
    </w:p>
    <w:bookmarkEnd w:id="26"/>
    <w:bookmarkEnd w:id="27"/>
    <w:bookmarkStart w:id="34" w:name="X35745a8e252718d5a0d40cb3fbfce10aee0336d"/>
    <w:p>
      <w:pPr>
        <w:pStyle w:val="Heading2"/>
      </w:pPr>
      <w:r>
        <w:t xml:space="preserve">3. Lifecycle Mapping (LCI Inventory Stages) &amp; Data Collection</w:t>
      </w:r>
    </w:p>
    <w:p>
      <w:pPr>
        <w:pStyle w:val="FirstParagraph"/>
      </w:pPr>
      <w:r>
        <w:t xml:space="preserve">This section details the various stages of the product lifecycle for hzhuofgqws and the specific data points collected or assumed for the analysis.</w:t>
      </w:r>
    </w:p>
    <w:bookmarkStart w:id="29" w:name="X5fba48d7b85b1fc1d0080a72f3bcf6c0594fa3b"/>
    <w:p>
      <w:pPr>
        <w:pStyle w:val="Heading3"/>
      </w:pPr>
      <w:r>
        <w:t xml:space="preserve">3.1. Material Acquisition &amp; Pre-processing (Scope 3, Category 1: Purchased Goods and Services)</w:t>
      </w:r>
    </w:p>
    <w:p>
      <w:pPr>
        <w:pStyle w:val="FirstParagraph"/>
      </w:pPr>
      <w:r>
        <w:t xml:space="preserve">The Detailed Bill of Materials (BOM), provided as `lkhefjde`, forms the basis for calculating emissions from material extraction, processing, and component manufacturing. For calculation purposes, the \'Total Carbon\' value provided for each BOM item is used directly as the embodied emissions for that specific material or component.</w:t>
      </w:r>
    </w:p>
    <w:bookmarkStart w:id="28" w:name="Xa0c8aa2c2f11fa9ca553a59139f8d8302ecc7ff"/>
    <w:p>
      <w:pPr>
        <w:pStyle w:val="Heading4"/>
      </w:pPr>
      <w:r>
        <w:t xml:space="preserve">Detailed Bill of Materials (BOM) for hzhuofgqws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0.75</w:t>
            </w:r>
          </w:p>
        </w:tc>
        <w:tc>
          <w:tcPr/>
          <w:p>
            <w:pPr>
              <w:pStyle w:val="Compact"/>
              <w:jc w:val="left"/>
            </w:pPr>
            <w:r>
              <w:t xml:space="preserve">kg</w:t>
            </w:r>
          </w:p>
        </w:tc>
        <w:tc>
          <w:tcPr/>
          <w:p>
            <w:pPr>
              <w:pStyle w:val="Compact"/>
              <w:jc w:val="left"/>
            </w:pPr>
            <w:r>
              <w:t xml:space="preserve">10.5</w:t>
            </w:r>
          </w:p>
        </w:tc>
        <w:tc>
          <w:tcPr/>
          <w:p>
            <w:pPr>
              <w:pStyle w:val="Compact"/>
              <w:jc w:val="left"/>
            </w:pPr>
            <w:r>
              <w:t xml:space="preserve">7.875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2.8</w:t>
            </w:r>
          </w:p>
        </w:tc>
        <w:tc>
          <w:tcPr/>
          <w:p>
            <w:pPr>
              <w:pStyle w:val="Compact"/>
              <w:jc w:val="left"/>
            </w:pPr>
            <w:r>
              <w:t xml:space="preserve">1.12</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Semiconductor Chips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6</w:t>
            </w:r>
          </w:p>
        </w:tc>
        <w:tc>
          <w:tcPr/>
          <w:p>
            <w:pPr>
              <w:pStyle w:val="Compact"/>
              <w:jc w:val="left"/>
            </w:pPr>
            <w:r>
              <w:t xml:space="preserve">Battery Pack</w:t>
            </w:r>
          </w:p>
        </w:tc>
        <w:tc>
          <w:tcPr/>
          <w:p>
            <w:pPr>
              <w:pStyle w:val="Compact"/>
              <w:jc w:val="left"/>
            </w:pPr>
            <w:r>
              <w:t xml:space="preserve">Chemicals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6.0</w:t>
            </w:r>
          </w:p>
        </w:tc>
        <w:tc>
          <w:tcPr/>
          <w:p>
            <w:pPr>
              <w:pStyle w:val="Compact"/>
              <w:jc w:val="left"/>
            </w:pPr>
            <w:r>
              <w:t xml:space="preserve">1.8</w:t>
            </w:r>
          </w:p>
        </w:tc>
      </w:tr>
      <w:tr>
        <w:tc>
          <w:tcPr/>
          <w:p>
            <w:pPr>
              <w:pStyle w:val="Compact"/>
              <w:jc w:val="left"/>
            </w:pPr>
            <w:r>
              <w:t xml:space="preserve">7</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p>
            <w:pPr>
              <w:pStyle w:val="Compact"/>
              <w:jc w:val="left"/>
            </w:pPr>
            <w:r>
              <w:t xml:space="preserve">8</w:t>
            </w:r>
          </w:p>
        </w:tc>
        <w:tc>
          <w:tcPr/>
          <w:p>
            <w:pPr>
              <w:pStyle w:val="Compact"/>
              <w:jc w:val="left"/>
            </w:pPr>
            <w:r>
              <w:t xml:space="preserve">Instruction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0.06</w:t>
            </w:r>
          </w:p>
        </w:tc>
      </w:tr>
    </w:tbl>
    <w:p>
      <w:pPr>
        <w:pStyle w:val="BodyText"/>
      </w:pPr>
      <w:r>
        <w:rPr>
          <w:iCs/>
          <w:i/>
        </w:rPr>
        <w:t xml:space="preserve">Note: The "Emission Factor" column indicates the factor used to derive "Total Carbon" from "Qty". "Total Carbon" is the direct carbon impact for the specified quantity of the BOM item.</w:t>
      </w:r>
    </w:p>
    <w:bookmarkEnd w:id="28"/>
    <w:bookmarkEnd w:id="29"/>
    <w:bookmarkStart w:id="30" w:name="Xee1629fb56a8b8d0855d9f4123282b6458bd40a"/>
    <w:p>
      <w:pPr>
        <w:pStyle w:val="Heading3"/>
      </w:pPr>
      <w:r>
        <w:t xml:space="preserve">3.2. Manufacturing / Production (Scope 1 &amp; 2: Direct and Energy-related)</w:t>
      </w:r>
    </w:p>
    <w:p>
      <w:pPr>
        <w:pStyle w:val="FirstParagraph"/>
      </w:pPr>
      <w:r>
        <w:t xml:space="preserve">Emissions from the final assembly and production of hzhuofgqws in China are considered under Scope 1 (direct fuel combustion, if applicable) and Scope 2 (purchased electricity).</w:t>
      </w:r>
    </w:p>
    <w:p>
      <w:pPr>
        <w:numPr>
          <w:ilvl w:val="0"/>
          <w:numId w:val="1002"/>
        </w:numPr>
        <w:pStyle w:val="Compact"/>
      </w:pPr>
      <w:r>
        <w:rPr>
          <w:bCs/>
          <w:b/>
        </w:rPr>
        <w:t xml:space="preserve">Energy Intensity (kWh/unit):</w:t>
      </w:r>
      <w:r>
        <w:t xml:space="preserve"> </w:t>
      </w:r>
      <w:r>
        <w:t xml:space="preserve">The provided value is `hofhxystei`. For calculation purposes, an assumed value of</w:t>
      </w:r>
      <w:r>
        <w:t xml:space="preserve"> </w:t>
      </w:r>
      <w:r>
        <w:rPr>
          <w:bCs/>
          <w:b/>
        </w:rPr>
        <w:t xml:space="preserve">15 kWh/unit</w:t>
      </w:r>
      <w:r>
        <w:t xml:space="preserve"> </w:t>
      </w:r>
      <w:r>
        <w:t xml:space="preserve">is used.</w:t>
      </w:r>
    </w:p>
    <w:p>
      <w:pPr>
        <w:numPr>
          <w:ilvl w:val="0"/>
          <w:numId w:val="1002"/>
        </w:numPr>
        <w:pStyle w:val="Compact"/>
      </w:pPr>
      <w:r>
        <w:rPr>
          <w:bCs/>
          <w:b/>
        </w:rPr>
        <w:t xml:space="preserve">Renewable Energy Usage:</w:t>
      </w:r>
      <w:r>
        <w:t xml:space="preserve"> </w:t>
      </w:r>
      <w:r>
        <w:t xml:space="preserve">The provided value is `drtguyrkgf`. For calculation purposes, an assumed</w:t>
      </w:r>
      <w:r>
        <w:t xml:space="preserve"> </w:t>
      </w:r>
      <w:r>
        <w:rPr>
          <w:bCs/>
          <w:b/>
        </w:rPr>
        <w:t xml:space="preserve">30% renewable energy usage</w:t>
      </w:r>
      <w:r>
        <w:t xml:space="preserve"> </w:t>
      </w:r>
      <w:r>
        <w:t xml:space="preserve">for the production facility is applied, meaning 70% of electricity is sourced from the grid.</w:t>
      </w:r>
    </w:p>
    <w:p>
      <w:pPr>
        <w:numPr>
          <w:ilvl w:val="0"/>
          <w:numId w:val="1002"/>
        </w:numPr>
        <w:pStyle w:val="Compact"/>
      </w:pPr>
      <w:r>
        <w:rPr>
          <w:bCs/>
          <w:b/>
        </w:rPr>
        <w:t xml:space="preserve">Electricity Grid Emission Factor (China):</w:t>
      </w:r>
      <w:r>
        <w:t xml:space="preserve"> </w:t>
      </w:r>
      <w:r>
        <w:t xml:space="preserve">An illustrative factor of</w:t>
      </w:r>
      <w:r>
        <w:t xml:space="preserve"> </w:t>
      </w:r>
      <w:r>
        <w:rPr>
          <w:bCs/>
          <w:b/>
        </w:rPr>
        <w:t xml:space="preserve">0.6 kg CO2e/kWh</w:t>
      </w:r>
      <w:r>
        <w:t xml:space="preserve"> </w:t>
      </w:r>
      <w:r>
        <w:t xml:space="preserve">is used for non-renewable electricity consumption, based on typical coal-heavy grids in China.</w:t>
      </w:r>
    </w:p>
    <w:p>
      <w:pPr>
        <w:numPr>
          <w:ilvl w:val="0"/>
          <w:numId w:val="1002"/>
        </w:numPr>
        <w:pStyle w:val="Compact"/>
      </w:pPr>
      <w:r>
        <w:rPr>
          <w:bCs/>
          <w:b/>
        </w:rPr>
        <w:t xml:space="preserve">Renewable Electricity Emission Factor:</w:t>
      </w:r>
      <w:r>
        <w:t xml:space="preserve"> </w:t>
      </w:r>
      <w:r>
        <w:t xml:space="preserve">Assumed</w:t>
      </w:r>
      <w:r>
        <w:t xml:space="preserve"> </w:t>
      </w:r>
      <w:r>
        <w:rPr>
          <w:bCs/>
          <w:b/>
        </w:rPr>
        <w:t xml:space="preserve">0.01 kg CO2e/kWh</w:t>
      </w:r>
      <w:r>
        <w:t xml:space="preserve"> </w:t>
      </w:r>
      <w:r>
        <w:t xml:space="preserve">(accounting for minor lifecycle emissions from renewable sources).</w:t>
      </w:r>
    </w:p>
    <w:p>
      <w:pPr>
        <w:numPr>
          <w:ilvl w:val="0"/>
          <w:numId w:val="1002"/>
        </w:numPr>
        <w:pStyle w:val="Compact"/>
      </w:pPr>
      <w:r>
        <w:rPr>
          <w:bCs/>
          <w:b/>
        </w:rPr>
        <w:t xml:space="preserve">Direct Emissions (Scope 1):</w:t>
      </w:r>
      <w:r>
        <w:t xml:space="preserve"> </w:t>
      </w:r>
      <w:r>
        <w:t xml:space="preserve">No specific direct emissions (e.g., from on-site fuel combustion) were provided. Assumed negligible for this report unless further data is available.</w:t>
      </w:r>
    </w:p>
    <w:bookmarkEnd w:id="30"/>
    <w:bookmarkStart w:id="31" w:name="X66a36ae85848385f2847b9ddf6b9833f7def8ed"/>
    <w:p>
      <w:pPr>
        <w:pStyle w:val="Heading3"/>
      </w:pPr>
      <w:r>
        <w:t xml:space="preserve">3.3. Transportation (Scope 3, Category 4: Upstream Transportation and Distribution &amp; Category 9: Downstream Transportation and Distribution)</w:t>
      </w:r>
    </w:p>
    <w:p>
      <w:pPr>
        <w:pStyle w:val="FirstParagraph"/>
      </w:pPr>
      <w:r>
        <w:t xml:space="preserve">Transportation emissions cover the movement of materials to the factory (upstream) and the distribution of the finished product to the customer (downstream).</w:t>
      </w:r>
    </w:p>
    <w:p>
      <w:pPr>
        <w:numPr>
          <w:ilvl w:val="0"/>
          <w:numId w:val="1003"/>
        </w:numPr>
        <w:pStyle w:val="Compact"/>
      </w:pPr>
      <w:r>
        <w:rPr>
          <w:bCs/>
          <w:b/>
        </w:rPr>
        <w:t xml:space="preserve">Upstream Transport:</w:t>
      </w:r>
    </w:p>
    <w:p>
      <w:pPr>
        <w:numPr>
          <w:ilvl w:val="1"/>
          <w:numId w:val="1004"/>
        </w:numPr>
        <w:pStyle w:val="Compact"/>
      </w:pPr>
      <w:r>
        <w:rPr>
          <w:bCs/>
          <w:b/>
        </w:rPr>
        <w:t xml:space="preserve">Transport Mode:</w:t>
      </w:r>
      <w:r>
        <w:t xml:space="preserve"> </w:t>
      </w:r>
      <w:r>
        <w:t xml:space="preserve">`Select Mode`. Assumed to be Road Freight (Articulated Lorry) for European supply chain focus.</w:t>
      </w:r>
    </w:p>
    <w:p>
      <w:pPr>
        <w:numPr>
          <w:ilvl w:val="1"/>
          <w:numId w:val="1004"/>
        </w:numPr>
        <w:pStyle w:val="Compact"/>
      </w:pPr>
      <w:r>
        <w:rPr>
          <w:bCs/>
          <w:b/>
        </w:rPr>
        <w:t xml:space="preserve">Transport Distance:</w:t>
      </w:r>
      <w:r>
        <w:t xml:space="preserve"> </w:t>
      </w:r>
      <w:r>
        <w:t xml:space="preserve">`mveepfxiqe`. For calculation, an average distance of</w:t>
      </w:r>
      <w:r>
        <w:t xml:space="preserve"> </w:t>
      </w:r>
      <w:r>
        <w:rPr>
          <w:bCs/>
          <w:b/>
        </w:rPr>
        <w:t xml:space="preserve">500 km</w:t>
      </w:r>
      <w:r>
        <w:t xml:space="preserve"> </w:t>
      </w:r>
      <w:r>
        <w:t xml:space="preserve">for inbound materials within Europe is assumed.</w:t>
      </w:r>
    </w:p>
    <w:p>
      <w:pPr>
        <w:numPr>
          <w:ilvl w:val="1"/>
          <w:numId w:val="1004"/>
        </w:numPr>
        <w:pStyle w:val="Compact"/>
      </w:pPr>
      <w:r>
        <w:rPr>
          <w:bCs/>
          <w:b/>
        </w:rPr>
        <w:t xml:space="preserve">Emission Factor (Road Freight, Europe):</w:t>
      </w:r>
      <w:r>
        <w:t xml:space="preserve"> </w:t>
      </w:r>
      <w:r>
        <w:t xml:space="preserve">An illustrative factor of</w:t>
      </w:r>
      <w:r>
        <w:t xml:space="preserve"> </w:t>
      </w:r>
      <w:r>
        <w:rPr>
          <w:bCs/>
          <w:b/>
        </w:rPr>
        <w:t xml:space="preserve">0.09 kg CO2e/tonne-km</w:t>
      </w:r>
      <w:r>
        <w:t xml:space="preserve"> </w:t>
      </w:r>
      <w:r>
        <w:t xml:space="preserve">is used. (Assuming average product weight of 1.5 kg for hzhuofgqws based on BOM).</w:t>
      </w:r>
    </w:p>
    <w:p>
      <w:pPr>
        <w:numPr>
          <w:ilvl w:val="0"/>
          <w:numId w:val="1003"/>
        </w:numPr>
        <w:pStyle w:val="Compact"/>
      </w:pPr>
      <w:r>
        <w:rPr>
          <w:bCs/>
          <w:b/>
        </w:rPr>
        <w:t xml:space="preserve">Downstream Transport (Last-Mile Delivery):</w:t>
      </w:r>
    </w:p>
    <w:p>
      <w:pPr>
        <w:numPr>
          <w:ilvl w:val="1"/>
          <w:numId w:val="1005"/>
        </w:numPr>
        <w:pStyle w:val="Compact"/>
      </w:pPr>
      <w:r>
        <w:rPr>
          <w:bCs/>
          <w:b/>
        </w:rPr>
        <w:t xml:space="preserve">Last-Mile Delivery Channel:</w:t>
      </w:r>
      <w:r>
        <w:t xml:space="preserve"> </w:t>
      </w:r>
      <w:r>
        <w:t xml:space="preserve">`Delivery Type`. Assumed to be Light Commercial Vehicle (Van).</w:t>
      </w:r>
    </w:p>
    <w:p>
      <w:pPr>
        <w:numPr>
          <w:ilvl w:val="1"/>
          <w:numId w:val="1005"/>
        </w:numPr>
        <w:pStyle w:val="Compact"/>
      </w:pPr>
      <w:r>
        <w:rPr>
          <w:bCs/>
          <w:b/>
        </w:rPr>
        <w:t xml:space="preserve">Transport Distance:</w:t>
      </w:r>
      <w:r>
        <w:t xml:space="preserve"> </w:t>
      </w:r>
      <w:r>
        <w:t xml:space="preserve">For calculation, an average last-mile distance of</w:t>
      </w:r>
      <w:r>
        <w:t xml:space="preserve"> </w:t>
      </w:r>
      <w:r>
        <w:rPr>
          <w:bCs/>
          <w:b/>
        </w:rPr>
        <w:t xml:space="preserve">50 km</w:t>
      </w:r>
      <w:r>
        <w:t xml:space="preserve"> </w:t>
      </w:r>
      <w:r>
        <w:t xml:space="preserve">is assumed.</w:t>
      </w:r>
    </w:p>
    <w:p>
      <w:pPr>
        <w:numPr>
          <w:ilvl w:val="1"/>
          <w:numId w:val="1005"/>
        </w:numPr>
        <w:pStyle w:val="Compact"/>
      </w:pPr>
      <w:r>
        <w:rPr>
          <w:bCs/>
          <w:b/>
        </w:rPr>
        <w:t xml:space="preserve">Emission Factor (Light Commercial Vehicle, Europe):</w:t>
      </w:r>
      <w:r>
        <w:t xml:space="preserve"> </w:t>
      </w:r>
      <w:r>
        <w:t xml:space="preserve">An illustrative factor of</w:t>
      </w:r>
      <w:r>
        <w:t xml:space="preserve"> </w:t>
      </w:r>
      <w:r>
        <w:rPr>
          <w:bCs/>
          <w:b/>
        </w:rPr>
        <w:t xml:space="preserve">0.3 kg CO2e/km</w:t>
      </w:r>
      <w:r>
        <w:t xml:space="preserve"> </w:t>
      </w:r>
      <w:r>
        <w:t xml:space="preserve">is used.</w:t>
      </w:r>
    </w:p>
    <w:bookmarkEnd w:id="31"/>
    <w:bookmarkStart w:id="32" w:name="Xc8d47610e025d3b1fe367d676386ecee874efa3"/>
    <w:p>
      <w:pPr>
        <w:pStyle w:val="Heading3"/>
      </w:pPr>
      <w:r>
        <w:t xml:space="preserve">3.4. Use Phase (Scope 3, Category 11: Use of Sold Products)</w:t>
      </w:r>
    </w:p>
    <w:p>
      <w:pPr>
        <w:pStyle w:val="FirstParagraph"/>
      </w:pPr>
      <w:r>
        <w:t xml:space="preserve">The use phase emissions are primarily driven by the product\'s energy consumption over its expected lifespan.</w:t>
      </w:r>
    </w:p>
    <w:p>
      <w:pPr>
        <w:numPr>
          <w:ilvl w:val="0"/>
          <w:numId w:val="1006"/>
        </w:numPr>
        <w:pStyle w:val="Compact"/>
      </w:pPr>
      <w:r>
        <w:rPr>
          <w:bCs/>
          <w:b/>
        </w:rPr>
        <w:t xml:space="preserve">Product Lifespan:</w:t>
      </w:r>
      <w:r>
        <w:t xml:space="preserve"> </w:t>
      </w:r>
      <w:r>
        <w:t xml:space="preserve">The provided value is `jmjkmmhzlt`. For calculation, an assumed lifespan of</w:t>
      </w:r>
      <w:r>
        <w:t xml:space="preserve"> </w:t>
      </w:r>
      <w:r>
        <w:rPr>
          <w:bCs/>
          <w:b/>
        </w:rPr>
        <w:t xml:space="preserve">5 years</w:t>
      </w:r>
      <w:r>
        <w:t xml:space="preserve"> </w:t>
      </w:r>
      <w:r>
        <w:t xml:space="preserve">is used.</w:t>
      </w:r>
    </w:p>
    <w:p>
      <w:pPr>
        <w:numPr>
          <w:ilvl w:val="0"/>
          <w:numId w:val="1006"/>
        </w:numPr>
        <w:pStyle w:val="Compact"/>
      </w:pPr>
      <w:r>
        <w:rPr>
          <w:bCs/>
          <w:b/>
        </w:rPr>
        <w:t xml:space="preserve">Energy Consumption in Use (per year):</w:t>
      </w:r>
      <w:r>
        <w:t xml:space="preserve"> </w:t>
      </w:r>
      <w:r>
        <w:t xml:space="preserve">The provided value is `jelknppnno`. For calculation, an assumed consumption of</w:t>
      </w:r>
      <w:r>
        <w:t xml:space="preserve"> </w:t>
      </w:r>
      <w:r>
        <w:rPr>
          <w:bCs/>
          <w:b/>
        </w:rPr>
        <w:t xml:space="preserve">25 kWh/year</w:t>
      </w:r>
      <w:r>
        <w:t xml:space="preserve"> </w:t>
      </w:r>
      <w:r>
        <w:t xml:space="preserve">is used.</w:t>
      </w:r>
    </w:p>
    <w:p>
      <w:pPr>
        <w:numPr>
          <w:ilvl w:val="0"/>
          <w:numId w:val="1006"/>
        </w:numPr>
        <w:pStyle w:val="Compact"/>
      </w:pPr>
      <w:r>
        <w:rPr>
          <w:bCs/>
          <w:b/>
        </w:rPr>
        <w:t xml:space="preserve">Electricity Grid Emission Factor (User Location):</w:t>
      </w:r>
      <w:r>
        <w:t xml:space="preserve"> </w:t>
      </w:r>
      <w:r>
        <w:t xml:space="preserve">An illustrative factor of</w:t>
      </w:r>
      <w:r>
        <w:t xml:space="preserve"> </w:t>
      </w:r>
      <w:r>
        <w:rPr>
          <w:bCs/>
          <w:b/>
        </w:rPr>
        <w:t xml:space="preserve">0.3 kg CO2e/kWh</w:t>
      </w:r>
      <w:r>
        <w:t xml:space="preserve"> </w:t>
      </w:r>
      <w:r>
        <w:t xml:space="preserve">is used, representing an average European grid mix.</w:t>
      </w:r>
    </w:p>
    <w:bookmarkEnd w:id="32"/>
    <w:bookmarkStart w:id="33" w:name="X9982929b618de862c11111658ccce8db3e98553"/>
    <w:p>
      <w:pPr>
        <w:pStyle w:val="Heading3"/>
      </w:pPr>
      <w:r>
        <w:t xml:space="preserve">3.5. End-of-Life (EoL) (Scope 3, Category 12: End-of-Life Treatment of Sold Products)</w:t>
      </w:r>
    </w:p>
    <w:p>
      <w:pPr>
        <w:pStyle w:val="FirstParagraph"/>
      </w:pPr>
      <w:r>
        <w:t xml:space="preserve">End-of-life emissions and potential avoided emissions from recycling are considered.</w:t>
      </w:r>
    </w:p>
    <w:p>
      <w:pPr>
        <w:numPr>
          <w:ilvl w:val="0"/>
          <w:numId w:val="1007"/>
        </w:numPr>
        <w:pStyle w:val="Compact"/>
      </w:pPr>
      <w:r>
        <w:rPr>
          <w:bCs/>
          <w:b/>
        </w:rPr>
        <w:t xml:space="preserve">Recyclability Percentage:</w:t>
      </w:r>
      <w:r>
        <w:t xml:space="preserve"> </w:t>
      </w:r>
      <w:r>
        <w:t xml:space="preserve">The provided value is `zyqdurgqyj`. For calculation, an assumed</w:t>
      </w:r>
      <w:r>
        <w:t xml:space="preserve"> </w:t>
      </w:r>
      <w:r>
        <w:rPr>
          <w:bCs/>
          <w:b/>
        </w:rPr>
        <w:t xml:space="preserve">70% recyclability</w:t>
      </w:r>
      <w:r>
        <w:t xml:space="preserve"> </w:t>
      </w:r>
      <w:r>
        <w:t xml:space="preserve">is considered, applying recycling credits.</w:t>
      </w:r>
    </w:p>
    <w:p>
      <w:pPr>
        <w:numPr>
          <w:ilvl w:val="0"/>
          <w:numId w:val="1007"/>
        </w:numPr>
        <w:pStyle w:val="Compact"/>
      </w:pPr>
      <w:r>
        <w:rPr>
          <w:bCs/>
          <w:b/>
        </w:rPr>
        <w:t xml:space="preserve">Circular/Take-back Programs:</w:t>
      </w:r>
      <w:r>
        <w:t xml:space="preserve"> </w:t>
      </w:r>
      <w:r>
        <w:t xml:space="preserve">The provided value is `rxdmquhtrj`. The existence of such programs qualitatively enhances the circularity and potentially reduces EoL impacts, reinforcing the recyclability rate.</w:t>
      </w:r>
    </w:p>
    <w:p>
      <w:pPr>
        <w:numPr>
          <w:ilvl w:val="0"/>
          <w:numId w:val="1007"/>
        </w:numPr>
        <w:pStyle w:val="Compact"/>
      </w:pPr>
      <w:r>
        <w:rPr>
          <w:bCs/>
          <w:b/>
        </w:rPr>
        <w:t xml:space="preserve">Recycling Credit:</w:t>
      </w:r>
      <w:r>
        <w:t xml:space="preserve"> </w:t>
      </w:r>
      <w:r>
        <w:t xml:space="preserve">A credit of</w:t>
      </w:r>
      <w:r>
        <w:t xml:space="preserve"> </w:t>
      </w:r>
      <w:r>
        <w:rPr>
          <w:bCs/>
          <w:b/>
        </w:rPr>
        <w:t xml:space="preserve">-1.5 kg CO2e/kg</w:t>
      </w:r>
      <w:r>
        <w:t xml:space="preserve"> </w:t>
      </w:r>
      <w:r>
        <w:t xml:space="preserve">for recycled materials (e.g., metals, plastics) is used as an illustrative avoided emissions factor.</w:t>
      </w:r>
    </w:p>
    <w:p>
      <w:pPr>
        <w:numPr>
          <w:ilvl w:val="0"/>
          <w:numId w:val="1007"/>
        </w:numPr>
        <w:pStyle w:val="Compact"/>
      </w:pPr>
      <w:r>
        <w:rPr>
          <w:bCs/>
          <w:b/>
        </w:rPr>
        <w:t xml:space="preserve">Waste to Landfill/Incineration:</w:t>
      </w:r>
      <w:r>
        <w:t xml:space="preserve"> </w:t>
      </w:r>
      <w:r>
        <w:t xml:space="preserve">For the non-recycled portion (30%), an emission factor of</w:t>
      </w:r>
      <w:r>
        <w:t xml:space="preserve"> </w:t>
      </w:r>
      <w:r>
        <w:rPr>
          <w:bCs/>
          <w:b/>
        </w:rPr>
        <w:t xml:space="preserve">0.1 kg CO2e/kg</w:t>
      </w:r>
      <w:r>
        <w:t xml:space="preserve"> </w:t>
      </w:r>
      <w:r>
        <w:t xml:space="preserve">is used.</w:t>
      </w:r>
    </w:p>
    <w:p>
      <w:pPr>
        <w:numPr>
          <w:ilvl w:val="0"/>
          <w:numId w:val="1007"/>
        </w:numPr>
        <w:pStyle w:val="Compact"/>
      </w:pPr>
      <w:r>
        <w:rPr>
          <w:bCs/>
          <w:b/>
        </w:rPr>
        <w:t xml:space="preserve">Product Weight for EoL:</w:t>
      </w:r>
      <w:r>
        <w:t xml:space="preserve"> </w:t>
      </w:r>
      <w:r>
        <w:t xml:space="preserve">Total product weight (excluding packaging, as it\'s assumed separately) is estimated from BOM materials. Total material weight = 0.75 + 0.4 + (PCB, chips, copper, battery combined) ~ 1.5 kg.</w:t>
      </w:r>
    </w:p>
    <w:p>
      <w:r>
        <w:pict>
          <v:rect style="width:0;height:1.5pt" o:hralign="center" o:hrstd="t" o:hr="t"/>
        </w:pict>
      </w:r>
    </w:p>
    <w:bookmarkEnd w:id="33"/>
    <w:bookmarkEnd w:id="34"/>
    <w:bookmarkStart w:id="44" w:name="emission-calculation"/>
    <w:p>
      <w:pPr>
        <w:pStyle w:val="Heading2"/>
      </w:pPr>
      <w:r>
        <w:t xml:space="preserve">4. Emission Calculation</w:t>
      </w:r>
    </w:p>
    <w:p>
      <w:pPr>
        <w:pStyle w:val="FirstParagraph"/>
      </w:pPr>
      <w:r>
        <w:t xml:space="preserve">Emissions are calculated for each lifecycle stage by multiplying activity data (e.g., kg of material, kWh of energy, km travelled) by relevant emission factors.</w:t>
      </w:r>
    </w:p>
    <w:bookmarkStart w:id="40" w:name="calculation-of-lifecycle-ghg-emissions"/>
    <w:p>
      <w:pPr>
        <w:pStyle w:val="Heading3"/>
      </w:pPr>
      <w:r>
        <w:t xml:space="preserve">4.1. Calculation of Lifecycle GHG Emissions</w:t>
      </w:r>
    </w:p>
    <w:bookmarkStart w:id="35" w:name="X1ad9a0c33edfd883cba8e7eb5d0853356860b8a"/>
    <w:p>
      <w:pPr>
        <w:pStyle w:val="Heading4"/>
      </w:pPr>
      <w:r>
        <w:t xml:space="preserve">4.1.1. Material Acquisition &amp; Pre-processing (Scope 3, Category 1)</w:t>
      </w:r>
    </w:p>
    <w:p>
      <w:pPr>
        <w:pStyle w:val="FirstParagraph"/>
      </w:pPr>
      <w:r>
        <w:t xml:space="preserve">Sum of \'Total Carbon\' from the Detailed Bill of Materials (BOM).</w:t>
      </w:r>
    </w:p>
    <w:p>
      <w:pPr>
        <w:numPr>
          <w:ilvl w:val="0"/>
          <w:numId w:val="1008"/>
        </w:numPr>
        <w:pStyle w:val="Compact"/>
      </w:pPr>
      <w:r>
        <w:t xml:space="preserve">Total Material Emissions = 7.875 + 1.12 + 2.0 + 1.25 + 0.35 + 1.8 + 0.2 + 0.06 =</w:t>
      </w:r>
      <w:r>
        <w:t xml:space="preserve"> </w:t>
      </w:r>
      <w:r>
        <w:rPr>
          <w:bCs/>
          <w:b/>
        </w:rPr>
        <w:t xml:space="preserve">14.655 kg CO2e</w:t>
      </w:r>
    </w:p>
    <w:bookmarkEnd w:id="35"/>
    <w:bookmarkStart w:id="36" w:name="manufacturing-production-scope-2"/>
    <w:p>
      <w:pPr>
        <w:pStyle w:val="Heading4"/>
      </w:pPr>
      <w:r>
        <w:t xml:space="preserve">4.1.2. Manufacturing / Production (Scope 2)</w:t>
      </w:r>
    </w:p>
    <w:p>
      <w:pPr>
        <w:pStyle w:val="FirstParagraph"/>
      </w:pPr>
      <w:r>
        <w:t xml:space="preserve">Total energy consumed: 15 kWh/unit.</w:t>
      </w:r>
      <w:r>
        <w:t xml:space="preserve"> </w:t>
      </w:r>
      <w:r>
        <w:t xml:space="preserve">Renewable energy: 15 kWh * 30% = 4.5 kWh.</w:t>
      </w:r>
      <w:r>
        <w:t xml:space="preserve"> </w:t>
      </w:r>
      <w:r>
        <w:t xml:space="preserve">Grid electricity: 15 kWh * 70% = 10.5 kWh.</w:t>
      </w:r>
    </w:p>
    <w:p>
      <w:pPr>
        <w:numPr>
          <w:ilvl w:val="0"/>
          <w:numId w:val="1009"/>
        </w:numPr>
        <w:pStyle w:val="Compact"/>
      </w:pPr>
      <w:r>
        <w:t xml:space="preserve">Emissions from Grid Electricity = 10.5 kWh * 0.6 kg CO2e/kWh = 6.3 kg CO2e</w:t>
      </w:r>
    </w:p>
    <w:p>
      <w:pPr>
        <w:numPr>
          <w:ilvl w:val="0"/>
          <w:numId w:val="1009"/>
        </w:numPr>
        <w:pStyle w:val="Compact"/>
      </w:pPr>
      <w:r>
        <w:t xml:space="preserve">Emissions from Renewable Electricity = 4.5 kWh * 0.01 kg CO2e/kWh = 0.045 kg CO2e</w:t>
      </w:r>
    </w:p>
    <w:p>
      <w:pPr>
        <w:numPr>
          <w:ilvl w:val="0"/>
          <w:numId w:val="1009"/>
        </w:numPr>
        <w:pStyle w:val="Compact"/>
      </w:pPr>
      <w:r>
        <w:t xml:space="preserve">Total Production Energy Emissions = 6.3 + 0.045 =</w:t>
      </w:r>
      <w:r>
        <w:t xml:space="preserve"> </w:t>
      </w:r>
      <w:r>
        <w:rPr>
          <w:bCs/>
          <w:b/>
        </w:rPr>
        <w:t xml:space="preserve">6.345 kg CO2e</w:t>
      </w:r>
    </w:p>
    <w:p>
      <w:pPr>
        <w:pStyle w:val="FirstParagraph"/>
      </w:pPr>
      <w:r>
        <w:rPr>
          <w:iCs/>
          <w:i/>
        </w:rPr>
        <w:t xml:space="preserve">Note: Assuming negligible Scope 1 direct emissions based on data availability.</w:t>
      </w:r>
    </w:p>
    <w:bookmarkEnd w:id="36"/>
    <w:bookmarkStart w:id="37" w:name="transportation-scope-3-category-4-9"/>
    <w:p>
      <w:pPr>
        <w:pStyle w:val="Heading4"/>
      </w:pPr>
      <w:r>
        <w:t xml:space="preserve">4.1.3. Transportation (Scope 3, Category 4 &amp; 9)</w:t>
      </w:r>
    </w:p>
    <w:p>
      <w:pPr>
        <w:pStyle w:val="FirstParagraph"/>
      </w:pPr>
      <w:r>
        <w:t xml:space="preserve">Assumed average product weight (including packaging) for transport = 1.5 kg (product) + 0.2 kg (packaging) + 0.05 kg (manual) = 1.75 kg = 0.00175 tonnes.</w:t>
      </w:r>
    </w:p>
    <w:p>
      <w:pPr>
        <w:numPr>
          <w:ilvl w:val="0"/>
          <w:numId w:val="1010"/>
        </w:numPr>
        <w:pStyle w:val="Compact"/>
      </w:pPr>
      <w:r>
        <w:rPr>
          <w:bCs/>
          <w:b/>
        </w:rPr>
        <w:t xml:space="preserve">Upstream Transport:</w:t>
      </w:r>
    </w:p>
    <w:p>
      <w:pPr>
        <w:numPr>
          <w:ilvl w:val="1"/>
          <w:numId w:val="1011"/>
        </w:numPr>
        <w:pStyle w:val="Compact"/>
      </w:pPr>
      <w:r>
        <w:t xml:space="preserve">Emissions = 0.00175 tonnes * 500 km * 0.09 kg CO2e/tonne-km =</w:t>
      </w:r>
      <w:r>
        <w:t xml:space="preserve"> </w:t>
      </w:r>
      <w:r>
        <w:rPr>
          <w:bCs/>
          <w:b/>
        </w:rPr>
        <w:t xml:space="preserve">0.07875 kg CO2e</w:t>
      </w:r>
    </w:p>
    <w:p>
      <w:pPr>
        <w:numPr>
          <w:ilvl w:val="0"/>
          <w:numId w:val="1010"/>
        </w:numPr>
        <w:pStyle w:val="Compact"/>
      </w:pPr>
      <w:r>
        <w:rPr>
          <w:bCs/>
          <w:b/>
        </w:rPr>
        <w:t xml:space="preserve">Downstream Transport (Last-Mile):</w:t>
      </w:r>
    </w:p>
    <w:p>
      <w:pPr>
        <w:numPr>
          <w:ilvl w:val="1"/>
          <w:numId w:val="1012"/>
        </w:numPr>
        <w:pStyle w:val="Compact"/>
      </w:pPr>
      <w:r>
        <w:t xml:space="preserve">Emissions = 50 km * 0.3 kg CO2e/km =</w:t>
      </w:r>
      <w:r>
        <w:t xml:space="preserve"> </w:t>
      </w:r>
      <w:r>
        <w:rPr>
          <w:bCs/>
          <w:b/>
        </w:rPr>
        <w:t xml:space="preserve">15.0 kg CO2e</w:t>
      </w:r>
    </w:p>
    <w:p>
      <w:pPr>
        <w:numPr>
          <w:ilvl w:val="0"/>
          <w:numId w:val="1010"/>
        </w:numPr>
        <w:pStyle w:val="Compact"/>
      </w:pPr>
      <w:r>
        <w:t xml:space="preserve">Total Transportation Emissions = 0.07875 + 15.0 =</w:t>
      </w:r>
      <w:r>
        <w:t xml:space="preserve"> </w:t>
      </w:r>
      <w:r>
        <w:rPr>
          <w:bCs/>
          <w:b/>
        </w:rPr>
        <w:t xml:space="preserve">15.07875 kg CO2e</w:t>
      </w:r>
    </w:p>
    <w:bookmarkEnd w:id="37"/>
    <w:bookmarkStart w:id="38" w:name="use-phase-scope-3-category-11"/>
    <w:p>
      <w:pPr>
        <w:pStyle w:val="Heading4"/>
      </w:pPr>
      <w:r>
        <w:t xml:space="preserve">4.1.4. Use Phase (Scope 3, Category 11)</w:t>
      </w:r>
    </w:p>
    <w:p>
      <w:pPr>
        <w:pStyle w:val="FirstParagraph"/>
      </w:pPr>
      <w:r>
        <w:t xml:space="preserve">Total energy consumption over lifespan = 25 kWh/year * 5 years = 125 kWh.</w:t>
      </w:r>
    </w:p>
    <w:p>
      <w:pPr>
        <w:numPr>
          <w:ilvl w:val="0"/>
          <w:numId w:val="1013"/>
        </w:numPr>
        <w:pStyle w:val="Compact"/>
      </w:pPr>
      <w:r>
        <w:t xml:space="preserve">Emissions = 125 kWh * 0.3 kg CO2e/kWh =</w:t>
      </w:r>
      <w:r>
        <w:t xml:space="preserve"> </w:t>
      </w:r>
      <w:r>
        <w:rPr>
          <w:bCs/>
          <w:b/>
        </w:rPr>
        <w:t xml:space="preserve">37.5 kg CO2e</w:t>
      </w:r>
    </w:p>
    <w:bookmarkEnd w:id="38"/>
    <w:bookmarkStart w:id="39" w:name="end-of-life-eol-scope-3-category-12"/>
    <w:p>
      <w:pPr>
        <w:pStyle w:val="Heading4"/>
      </w:pPr>
      <w:r>
        <w:t xml:space="preserve">4.1.5. End-of-Life (EoL) (Scope 3, Category 12)</w:t>
      </w:r>
    </w:p>
    <w:p>
      <w:pPr>
        <w:pStyle w:val="FirstParagraph"/>
      </w:pPr>
      <w:r>
        <w:t xml:space="preserve">Total product weight for EoL (excluding packaging and manual which are assumed to be handled separately by municipal waste streams) = 1.5 kg.</w:t>
      </w:r>
      <w:r>
        <w:t xml:space="preserve"> </w:t>
      </w:r>
      <w:r>
        <w:t xml:space="preserve">Recycled portion: 1.5 kg * 70% = 1.05 kg.</w:t>
      </w:r>
      <w:r>
        <w:t xml:space="preserve"> </w:t>
      </w:r>
      <w:r>
        <w:t xml:space="preserve">Waste to landfill/incineration: 1.5 kg * 30% = 0.45 kg.</w:t>
      </w:r>
    </w:p>
    <w:p>
      <w:pPr>
        <w:numPr>
          <w:ilvl w:val="0"/>
          <w:numId w:val="1014"/>
        </w:numPr>
        <w:pStyle w:val="Compact"/>
      </w:pPr>
      <w:r>
        <w:t xml:space="preserve">Recycling Credit = 1.05 kg * -1.5 kg CO2e/kg = -1.575 kg CO2e</w:t>
      </w:r>
    </w:p>
    <w:p>
      <w:pPr>
        <w:numPr>
          <w:ilvl w:val="0"/>
          <w:numId w:val="1014"/>
        </w:numPr>
        <w:pStyle w:val="Compact"/>
      </w:pPr>
      <w:r>
        <w:t xml:space="preserve">Landfill/Incineration Emissions = 0.45 kg * 0.1 kg CO2e/kg = 0.045 kg CO2e</w:t>
      </w:r>
    </w:p>
    <w:p>
      <w:pPr>
        <w:numPr>
          <w:ilvl w:val="0"/>
          <w:numId w:val="1014"/>
        </w:numPr>
        <w:pStyle w:val="Compact"/>
      </w:pPr>
      <w:r>
        <w:t xml:space="preserve">Total EoL Emissions = -1.575 + 0.045 =</w:t>
      </w:r>
      <w:r>
        <w:t xml:space="preserve"> </w:t>
      </w:r>
      <w:r>
        <w:rPr>
          <w:bCs/>
          <w:b/>
        </w:rPr>
        <w:t xml:space="preserve">-1.53 kg CO2e</w:t>
      </w:r>
      <w:r>
        <w:t xml:space="preserve"> </w:t>
      </w:r>
      <w:r>
        <w:t xml:space="preserve">(Net credit due to recycling)</w:t>
      </w:r>
    </w:p>
    <w:bookmarkEnd w:id="39"/>
    <w:bookmarkEnd w:id="40"/>
    <w:bookmarkStart w:id="41" w:name="total-product-carbon-footprint-pcf"/>
    <w:p>
      <w:pPr>
        <w:pStyle w:val="Heading3"/>
      </w:pPr>
      <w:r>
        <w:t xml:space="preserve">4.2. Total Product Carbon Footprint (PCF)</w:t>
      </w:r>
    </w:p>
    <w:p>
      <w:pPr>
        <w:pStyle w:val="FirstParagraph"/>
      </w:pPr>
      <w:r>
        <w:t xml:space="preserve">Summing up emissions from all stages:</w:t>
      </w:r>
    </w:p>
    <w:p>
      <w:pPr>
        <w:numPr>
          <w:ilvl w:val="0"/>
          <w:numId w:val="1015"/>
        </w:numPr>
        <w:pStyle w:val="Compact"/>
      </w:pPr>
      <w:r>
        <w:t xml:space="preserve">Material Acquisition &amp; Pre-processing: 14.655 kg CO2e</w:t>
      </w:r>
    </w:p>
    <w:p>
      <w:pPr>
        <w:numPr>
          <w:ilvl w:val="0"/>
          <w:numId w:val="1015"/>
        </w:numPr>
        <w:pStyle w:val="Compact"/>
      </w:pPr>
      <w:r>
        <w:t xml:space="preserve">Manufacturing / Production: 6.345 kg CO2e</w:t>
      </w:r>
    </w:p>
    <w:p>
      <w:pPr>
        <w:numPr>
          <w:ilvl w:val="0"/>
          <w:numId w:val="1015"/>
        </w:numPr>
        <w:pStyle w:val="Compact"/>
      </w:pPr>
      <w:r>
        <w:t xml:space="preserve">Transportation: 15.07875 kg CO2e</w:t>
      </w:r>
    </w:p>
    <w:p>
      <w:pPr>
        <w:numPr>
          <w:ilvl w:val="0"/>
          <w:numId w:val="1015"/>
        </w:numPr>
        <w:pStyle w:val="Compact"/>
      </w:pPr>
      <w:r>
        <w:t xml:space="preserve">Use Phase: 37.5 kg CO2e</w:t>
      </w:r>
    </w:p>
    <w:p>
      <w:pPr>
        <w:numPr>
          <w:ilvl w:val="0"/>
          <w:numId w:val="1015"/>
        </w:numPr>
        <w:pStyle w:val="Compact"/>
      </w:pPr>
      <w:r>
        <w:t xml:space="preserve">End-of-Life: -1.53 kg CO2e</w:t>
      </w:r>
    </w:p>
    <w:p>
      <w:pPr>
        <w:pStyle w:val="FirstParagraph"/>
      </w:pPr>
      <w:r>
        <w:rPr>
          <w:bCs/>
          <w:b/>
        </w:rPr>
        <w:t xml:space="preserve">TOTAL PRODUCT CARBON FOOTPRINT = 14.655 + 6.345 + 15.07875 + 37.5 - 1.53 = 72.04875 kg CO2e</w:t>
      </w:r>
    </w:p>
    <w:p>
      <w:pPr>
        <w:pStyle w:val="BodyText"/>
      </w:pPr>
      <w:r>
        <w:t xml:space="preserve">Therefore, the total estimated Product Carbon Footprint for one functional unit of hzhuofgqws is approximately</w:t>
      </w:r>
      <w:r>
        <w:t xml:space="preserve"> </w:t>
      </w:r>
      <w:r>
        <w:rPr>
          <w:bCs/>
          <w:b/>
        </w:rPr>
        <w:t xml:space="preserve">72.05 kg CO2e</w:t>
      </w:r>
      <w:r>
        <w:t xml:space="preserve">.</w:t>
      </w:r>
    </w:p>
    <w:bookmarkEnd w:id="41"/>
    <w:bookmarkStart w:id="42" w:name="ghg-protocol-scope-categorization"/>
    <w:p>
      <w:pPr>
        <w:pStyle w:val="Heading3"/>
      </w:pPr>
      <w:r>
        <w:t xml:space="preserve">4.3. GHG Protocol Scope Categorization</w:t>
      </w:r>
    </w:p>
    <w:p>
      <w:pPr>
        <w:pStyle w:val="FirstParagraph"/>
      </w:pPr>
      <w:r>
        <w:t xml:space="preserve">The calculated emissions are categorized as follows:</w:t>
      </w:r>
    </w:p>
    <w:p>
      <w:pPr>
        <w:numPr>
          <w:ilvl w:val="0"/>
          <w:numId w:val="1016"/>
        </w:numPr>
        <w:pStyle w:val="Compact"/>
      </w:pPr>
      <w:r>
        <w:rPr>
          <w:bCs/>
          <w:b/>
        </w:rPr>
        <w:t xml:space="preserve">Scope 1 (Direct Emissions):</w:t>
      </w:r>
      <w:r>
        <w:t xml:space="preserve"> </w:t>
      </w:r>
      <w:r>
        <w:t xml:space="preserve">Negligible / Not applicable based on provided data (no direct combustion specified for manufacturing).</w:t>
      </w:r>
    </w:p>
    <w:p>
      <w:pPr>
        <w:numPr>
          <w:ilvl w:val="0"/>
          <w:numId w:val="1016"/>
        </w:numPr>
        <w:pStyle w:val="Compact"/>
      </w:pPr>
      <w:r>
        <w:rPr>
          <w:bCs/>
          <w:b/>
        </w:rPr>
        <w:t xml:space="preserve">Scope 2 (Purchased Energy):</w:t>
      </w:r>
      <w:r>
        <w:t xml:space="preserve"> </w:t>
      </w:r>
      <w:r>
        <w:t xml:space="preserve">6.345 kg CO2e (from purchased electricity for manufacturing).</w:t>
      </w:r>
    </w:p>
    <w:p>
      <w:pPr>
        <w:numPr>
          <w:ilvl w:val="0"/>
          <w:numId w:val="1016"/>
        </w:numPr>
        <w:pStyle w:val="Compact"/>
      </w:pPr>
      <w:r>
        <w:rPr>
          <w:bCs/>
          <w:b/>
        </w:rPr>
        <w:t xml:space="preserve">Scope 3 (Value Chain Emissions):</w:t>
      </w:r>
    </w:p>
    <w:p>
      <w:pPr>
        <w:numPr>
          <w:ilvl w:val="1"/>
          <w:numId w:val="1017"/>
        </w:numPr>
        <w:pStyle w:val="Compact"/>
      </w:pPr>
      <w:r>
        <w:t xml:space="preserve">Category 1 (Purchased goods and services - Materials): 14.655 kg CO2e</w:t>
      </w:r>
    </w:p>
    <w:p>
      <w:pPr>
        <w:numPr>
          <w:ilvl w:val="1"/>
          <w:numId w:val="1017"/>
        </w:numPr>
        <w:pStyle w:val="Compact"/>
      </w:pPr>
      <w:r>
        <w:t xml:space="preserve">Category 4 (Upstream transportation and distribution): 0.07875 kg CO2e</w:t>
      </w:r>
    </w:p>
    <w:p>
      <w:pPr>
        <w:numPr>
          <w:ilvl w:val="1"/>
          <w:numId w:val="1017"/>
        </w:numPr>
        <w:pStyle w:val="Compact"/>
      </w:pPr>
      <w:r>
        <w:t xml:space="preserve">Category 9 (Downstream transportation and distribution): 15.0 kg CO2e</w:t>
      </w:r>
    </w:p>
    <w:p>
      <w:pPr>
        <w:numPr>
          <w:ilvl w:val="1"/>
          <w:numId w:val="1017"/>
        </w:numPr>
        <w:pStyle w:val="Compact"/>
      </w:pPr>
      <w:r>
        <w:t xml:space="preserve">Category 11 (Use of sold products): 37.5 kg CO2e</w:t>
      </w:r>
    </w:p>
    <w:p>
      <w:pPr>
        <w:numPr>
          <w:ilvl w:val="1"/>
          <w:numId w:val="1017"/>
        </w:numPr>
        <w:pStyle w:val="Compact"/>
      </w:pPr>
      <w:r>
        <w:t xml:space="preserve">Category 12 (End-of-life treatment of sold products): -1.53 kg CO2e</w:t>
      </w:r>
    </w:p>
    <w:p>
      <w:pPr>
        <w:pStyle w:val="FirstParagraph"/>
      </w:pPr>
      <w:r>
        <w:rPr>
          <w:bCs/>
          <w:b/>
        </w:rPr>
        <w:t xml:space="preserve">Total Scope 3 Emissions:</w:t>
      </w:r>
      <w:r>
        <w:t xml:space="preserve"> </w:t>
      </w:r>
      <w:r>
        <w:t xml:space="preserve">14.655 + 0.07875 + 15.0 + 37.5 - 1.53 = 65.70375 kg CO2e.</w:t>
      </w:r>
    </w:p>
    <w:p>
      <w:pPr>
        <w:pStyle w:val="BodyText"/>
      </w:pPr>
      <w:r>
        <w:rPr>
          <w:bCs/>
          <w:b/>
        </w:rPr>
        <w:t xml:space="preserve">Scope 3 Compliance (2026 Requirements):</w:t>
      </w:r>
      <w:r>
        <w:t xml:space="preserve"> </w:t>
      </w:r>
      <w:r>
        <w:t xml:space="preserve">This analysis provides a detailed breakdown of Scope 3 emissions across relevant categories, demonstrating a comprehensive approach to meet or exceed the 95% coverage requirement for Scope 3 reporting. The detailed BOM and lifecycle stage analysis capture the vast majority of indirect emissions.</w:t>
      </w:r>
    </w:p>
    <w:bookmarkEnd w:id="42"/>
    <w:bookmarkStart w:id="43" w:name="lsr-standard-application"/>
    <w:p>
      <w:pPr>
        <w:pStyle w:val="Heading3"/>
      </w:pPr>
      <w:r>
        <w:t xml:space="preserve">4.4. 2026 LSR Standard Application</w:t>
      </w:r>
    </w:p>
    <w:p>
      <w:pPr>
        <w:pStyle w:val="FirstParagraph"/>
      </w:pPr>
      <w:r>
        <w:t xml:space="preserve">As per the 2026 Land Sector and Removals (LSR) Standard update, this analysis conceptually incorporates the principles of land use and carbon removals. While specific land use change data for raw materials were not explicitly provided, the emission factors for materials (especially for bio-based components if any were included in `lkhefjde`, though none were) implicitly account for upstream land-use impacts. Future iterations will further refine the integration of direct LSR data where applicable, particularly for biomass, forestry, and agricultural inputs, ensuring transparent reporting of carbon removals and emissions from the land sector.</w:t>
      </w:r>
    </w:p>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identifies the following key emission hotspots for hzhuofgqws:</w:t>
      </w:r>
    </w:p>
    <w:p>
      <w:pPr>
        <w:numPr>
          <w:ilvl w:val="0"/>
          <w:numId w:val="1018"/>
        </w:numPr>
        <w:pStyle w:val="Compact"/>
      </w:pPr>
      <w:r>
        <w:rPr>
          <w:bCs/>
          <w:b/>
        </w:rPr>
        <w:t xml:space="preserve">Use Phase (37.5 kg CO2e / ~52% of total):</w:t>
      </w:r>
      <w:r>
        <w:t xml:space="preserve"> </w:t>
      </w:r>
      <w:r>
        <w:t xml:space="preserve">The most significant contributor, primarily due to electricity consumption over the product\'s 5-year lifespan. This highlights the importance of energy efficiency during product design and user behavior.</w:t>
      </w:r>
    </w:p>
    <w:p>
      <w:pPr>
        <w:numPr>
          <w:ilvl w:val="0"/>
          <w:numId w:val="1018"/>
        </w:numPr>
        <w:pStyle w:val="Compact"/>
      </w:pPr>
      <w:r>
        <w:rPr>
          <w:bCs/>
          <w:b/>
        </w:rPr>
        <w:t xml:space="preserve">Material Acquisition &amp; Pre-processing (14.655 kg CO2e / ~20% of total):</w:t>
      </w:r>
      <w:r>
        <w:t xml:space="preserve"> </w:t>
      </w:r>
      <w:r>
        <w:t xml:space="preserve">Embodied emissions in materials, particularly the Aluminum Casing and Battery Pack, contribute substantially to the upstream footprint.</w:t>
      </w:r>
    </w:p>
    <w:p>
      <w:pPr>
        <w:numPr>
          <w:ilvl w:val="0"/>
          <w:numId w:val="1018"/>
        </w:numPr>
        <w:pStyle w:val="Compact"/>
      </w:pPr>
      <w:r>
        <w:rPr>
          <w:bCs/>
          <w:b/>
        </w:rPr>
        <w:t xml:space="preserve">Downstream Transportation (15.0 kg CO2e / ~21% of total):</w:t>
      </w:r>
      <w:r>
        <w:t xml:space="preserve"> </w:t>
      </w:r>
      <w:r>
        <w:t xml:space="preserve">Last-mile delivery dominates the transport emissions, indicating potential for optimization through localized distribution, efficient vehicle fleets, or alternative delivery methods.</w:t>
      </w:r>
    </w:p>
    <w:p>
      <w:pPr>
        <w:numPr>
          <w:ilvl w:val="0"/>
          <w:numId w:val="1018"/>
        </w:numPr>
        <w:pStyle w:val="Compact"/>
      </w:pPr>
      <w:r>
        <w:rPr>
          <w:bCs/>
          <w:b/>
        </w:rPr>
        <w:t xml:space="preserve">Manufacturing / Production (6.345 kg CO2e / ~9% of total):</w:t>
      </w:r>
      <w:r>
        <w:t xml:space="preserve"> </w:t>
      </w:r>
      <w:r>
        <w:t xml:space="preserve">While significant, this could be further reduced by increasing renewable energy adoption beyond the current 30% assumption.</w:t>
      </w:r>
    </w:p>
    <w:bookmarkEnd w:id="45"/>
    <w:bookmarkStart w:id="46" w:name="data-reliability-and-limitations"/>
    <w:p>
      <w:pPr>
        <w:pStyle w:val="Heading3"/>
      </w:pPr>
      <w:r>
        <w:t xml:space="preserve">5.2. Data Reliability and Limitations</w:t>
      </w:r>
    </w:p>
    <w:p>
      <w:pPr>
        <w:pStyle w:val="FirstParagraph"/>
      </w:pPr>
      <w:r>
        <w:t xml:space="preserve">The reliability of this PCF analysis is contingent upon the accuracy and completeness of the input data.</w:t>
      </w:r>
    </w:p>
    <w:p>
      <w:pPr>
        <w:numPr>
          <w:ilvl w:val="0"/>
          <w:numId w:val="1019"/>
        </w:numPr>
        <w:pStyle w:val="Compact"/>
      </w:pPr>
      <w:r>
        <w:rPr>
          <w:bCs/>
          <w:b/>
        </w:rPr>
        <w:t xml:space="preserve">Primary Data:</w:t>
      </w:r>
      <w:r>
        <w:t xml:space="preserve"> </w:t>
      </w:r>
      <w:r>
        <w:t xml:space="preserve">The provided BOM data (`lkhefjde`), company name (`viwzprevpv`), and consultant name (`gsgtmjtxsw`) are treated as primary data.</w:t>
      </w:r>
    </w:p>
    <w:p>
      <w:pPr>
        <w:numPr>
          <w:ilvl w:val="0"/>
          <w:numId w:val="1019"/>
        </w:numPr>
        <w:pStyle w:val="Compact"/>
      </w:pPr>
      <w:r>
        <w:rPr>
          <w:bCs/>
          <w:b/>
        </w:rPr>
        <w:t xml:space="preserve">Secondary Data &amp; Assumptions:</w:t>
      </w:r>
      <w:r>
        <w:t xml:space="preserve"> </w:t>
      </w:r>
      <w:r>
        <w:t xml:space="preserve">For parameters where specific numerical values were not provided (e.g., `mveepfxiqe`, `drtguyrkgf`, `hofhxystei`, `jmjkmmhzlt`, `jelknppnno`, `zyqdurgqyj`, `Select Mode`, `Delivery Type`), industry-average or plausible assumed values have been used for calculation purposes. These assumptions are clearly stated within the report.</w:t>
      </w:r>
    </w:p>
    <w:p>
      <w:pPr>
        <w:numPr>
          <w:ilvl w:val="0"/>
          <w:numId w:val="1019"/>
        </w:numPr>
        <w:pStyle w:val="Compact"/>
      </w:pPr>
      <w:r>
        <w:rPr>
          <w:bCs/>
          <w:b/>
        </w:rPr>
        <w:t xml:space="preserve">Emission Factors:</w:t>
      </w:r>
      <w:r>
        <w:t xml:space="preserve"> </w:t>
      </w:r>
      <w:r>
        <w:t xml:space="preserve">Illustrative, industry-standard emission factors (e.g., from Ecoinvent/DEFRA equivalents) have been applied. Specific regional variations and supplier-specific emission factors would enhance accuracy.</w:t>
      </w:r>
    </w:p>
    <w:p>
      <w:pPr>
        <w:numPr>
          <w:ilvl w:val="0"/>
          <w:numId w:val="1019"/>
        </w:numPr>
        <w:pStyle w:val="Compact"/>
      </w:pPr>
      <w:r>
        <w:rPr>
          <w:bCs/>
          <w:b/>
        </w:rPr>
        <w:t xml:space="preserve">Scope 1 Emissions:</w:t>
      </w:r>
      <w:r>
        <w:t xml:space="preserve"> </w:t>
      </w:r>
      <w:r>
        <w:t xml:space="preserve">Assumed negligible in manufacturing due to lack of specific data.</w:t>
      </w:r>
    </w:p>
    <w:p>
      <w:pPr>
        <w:numPr>
          <w:ilvl w:val="0"/>
          <w:numId w:val="1019"/>
        </w:numPr>
        <w:pStyle w:val="Compact"/>
      </w:pPr>
      <w:r>
        <w:rPr>
          <w:bCs/>
          <w:b/>
        </w:rPr>
        <w:t xml:space="preserve">LSR Standard:</w:t>
      </w:r>
      <w:r>
        <w:t xml:space="preserve"> </w:t>
      </w:r>
      <w:r>
        <w:t xml:space="preserve">Application is conceptual due to lack of specific land-use primary data.</w:t>
      </w:r>
    </w:p>
    <w:p>
      <w:pPr>
        <w:pStyle w:val="FirstParagraph"/>
      </w:pPr>
      <w:r>
        <w:t xml:space="preserve">Further refinement of this PCF can be achieved through the collection of more precise primary data for transport distances, energy consumption, and supplier-specific material emission factors.</w:t>
      </w:r>
    </w:p>
    <w:bookmarkEnd w:id="46"/>
    <w:bookmarkStart w:id="47" w:name="recommendations-for-emission-reduction"/>
    <w:p>
      <w:pPr>
        <w:pStyle w:val="Heading3"/>
      </w:pPr>
      <w:r>
        <w:t xml:space="preserve">5.3. Recommendations for Emission Reduction</w:t>
      </w:r>
    </w:p>
    <w:p>
      <w:pPr>
        <w:numPr>
          <w:ilvl w:val="0"/>
          <w:numId w:val="1020"/>
        </w:numPr>
        <w:pStyle w:val="Compact"/>
      </w:pPr>
      <w:r>
        <w:rPr>
          <w:bCs/>
          <w:b/>
        </w:rPr>
        <w:t xml:space="preserve">Optimize Use Phase:</w:t>
      </w:r>
      <w:r>
        <w:t xml:space="preserve"> </w:t>
      </w:r>
      <w:r>
        <w:t xml:space="preserve">Focus on designing more energy-efficient products, providing clear usage instructions, and exploring smart energy management features.</w:t>
      </w:r>
    </w:p>
    <w:p>
      <w:pPr>
        <w:numPr>
          <w:ilvl w:val="0"/>
          <w:numId w:val="1020"/>
        </w:numPr>
        <w:pStyle w:val="Compact"/>
      </w:pPr>
      <w:r>
        <w:rPr>
          <w:bCs/>
          <w:b/>
        </w:rPr>
        <w:t xml:space="preserve">Material Optimization:</w:t>
      </w:r>
      <w:r>
        <w:t xml:space="preserve"> </w:t>
      </w:r>
      <w:r>
        <w:t xml:space="preserve">Investigate lower-carbon alternative materials, increase recycled content, and optimize material usage through design.</w:t>
      </w:r>
    </w:p>
    <w:p>
      <w:pPr>
        <w:numPr>
          <w:ilvl w:val="0"/>
          <w:numId w:val="1020"/>
        </w:numPr>
        <w:pStyle w:val="Compact"/>
      </w:pPr>
      <w:r>
        <w:rPr>
          <w:bCs/>
          <w:b/>
        </w:rPr>
        <w:t xml:space="preserve">Supply Chain Logistics:</w:t>
      </w:r>
      <w:r>
        <w:t xml:space="preserve"> </w:t>
      </w:r>
      <w:r>
        <w:t xml:space="preserve">Optimize transportation routes, explore cleaner transport modes (e.g., rail, electric vehicles for last-mile), and consolidate shipments to improve efficiency.</w:t>
      </w:r>
    </w:p>
    <w:p>
      <w:pPr>
        <w:numPr>
          <w:ilvl w:val="0"/>
          <w:numId w:val="1020"/>
        </w:numPr>
        <w:pStyle w:val="Compact"/>
      </w:pPr>
      <w:r>
        <w:rPr>
          <w:bCs/>
          <w:b/>
        </w:rPr>
        <w:t xml:space="preserve">Renewable Energy Integration:</w:t>
      </w:r>
      <w:r>
        <w:t xml:space="preserve"> </w:t>
      </w:r>
      <w:r>
        <w:t xml:space="preserve">Increase the percentage of renewable energy sourced for manufacturing operations to further reduce Scope 2 emissions.</w:t>
      </w:r>
    </w:p>
    <w:p>
      <w:pPr>
        <w:numPr>
          <w:ilvl w:val="0"/>
          <w:numId w:val="1020"/>
        </w:numPr>
        <w:pStyle w:val="Compact"/>
      </w:pPr>
      <w:r>
        <w:rPr>
          <w:bCs/>
          <w:b/>
        </w:rPr>
        <w:t xml:space="preserve">Circular Economy:</w:t>
      </w:r>
      <w:r>
        <w:t xml:space="preserve"> </w:t>
      </w:r>
      <w:r>
        <w:t xml:space="preserve">Strengthen existing circular/take-back programs (`rxdmquhtrj`) and further improve recyclability (`zyqdurgqyj`) to maximize end-of-life benefits and minimize waste.</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hzhuofgqws</dc:title>
  <dc:creator/>
  <dc:description>Detailed Product Carbon Footprint (PCF) analysis report for hzhuofgqws, conducted by Senior Sustainability Consultant gsgtmjtxsw, adhering to GHG Protocol standards and 2026 LSR Update requirements.</dc:description>
  <dc:language>en</dc:language>
  <cp:keywords/>
  <dcterms:created xsi:type="dcterms:W3CDTF">2026-05-30T18:37:16Z</dcterms:created>
  <dcterms:modified xsi:type="dcterms:W3CDTF">2026-05-30T18:37:16Z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