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hyxywzufiz</w:t>
      </w:r>
      <w:r>
        <w:t xml:space="preserve"> </w:t>
      </w:r>
      <w:r>
        <w:t xml:space="preserve">(Smart</w:t>
      </w:r>
      <w:r>
        <w:t xml:space="preserve"> </w:t>
      </w:r>
      <w:r>
        <w:t xml:space="preserve">Home</w:t>
      </w:r>
      <w:r>
        <w:t xml:space="preserve"> </w:t>
      </w:r>
      <w:r>
        <w:t xml:space="preserve">Device)</w:t>
      </w:r>
    </w:p>
    <w:p>
      <w:pPr>
        <w:pStyle w:val="FirstParagraph"/>
      </w:pPr>
      <w:r>
        <w:t xml:space="preserve">carboncalcpcf.com</w:t>
      </w:r>
    </w:p>
    <w:bookmarkStart w:id="20" w:name="product-carbon-footprint-report"/>
    <w:p>
      <w:pPr>
        <w:pStyle w:val="Heading1"/>
      </w:pPr>
      <w:r>
        <w:t xml:space="preserve">Product Carbon Footprint Report</w:t>
      </w:r>
    </w:p>
    <w:bookmarkEnd w:id="20"/>
    <w:bookmarkStart w:id="21" w:name="for-hyxywzufiz-smart-home-device"/>
    <w:p>
      <w:pPr>
        <w:pStyle w:val="Heading1"/>
      </w:pPr>
      <w:r>
        <w:t xml:space="preserve">For hyxywzufiz (Smart Home Device)</w:t>
      </w:r>
    </w:p>
    <w:p>
      <w:pPr>
        <w:pStyle w:val="FirstParagraph"/>
      </w:pPr>
      <w:r>
        <w:rPr>
          <w:bCs/>
          <w:b/>
        </w:rPr>
        <w:t xml:space="preserve">Company Name:</w:t>
      </w:r>
      <w:r>
        <w:t xml:space="preserve"> </w:t>
      </w:r>
      <w:r>
        <w:t xml:space="preserve">hsqkguxrkp</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tlyqpmliel</w:t>
      </w:r>
    </w:p>
    <w:p>
      <w:pPr>
        <w:pStyle w:val="BodyText"/>
      </w:pPr>
      <w:r>
        <w:t xml:space="preserve">Disclaimer: This report is generated based on available data and industry standards,</w:t>
      </w:r>
      <w:r>
        <w:t xml:space="preserve"> </w:t>
      </w:r>
      <w:r>
        <w:t xml:space="preserve">providing an estimation of the Product Carbon Footprint.</w:t>
      </w:r>
      <w:r>
        <w:t xml:space="preserve"> </w:t>
      </w:r>
      <w:r>
        <w:t xml:space="preserve">Actual figures may vary depending on real-time operational data and specific supply chain nuances.</w:t>
      </w:r>
    </w:p>
    <w:bookmarkEnd w:id="21"/>
    <w:p>
      <w:r>
        <w:pict>
          <v:rect style="width:0;height:1.5pt" o:hralign="center" o:hrstd="t" o:hr="t"/>
        </w:pict>
      </w:r>
    </w:p>
    <w:bookmarkStart w:id="38" w:name="X4d9423461c85a7e2080ba6aae626994b470f1cc"/>
    <w:p>
      <w:pPr>
        <w:pStyle w:val="Heading1"/>
      </w:pPr>
      <w:r>
        <w:t xml:space="preserve">Product Carbon Footprint Analysis: hyxywzufiz (Smart Home Device)</w:t>
      </w:r>
    </w:p>
    <w:p>
      <w:pPr>
        <w:pStyle w:val="FirstParagraph"/>
      </w:pPr>
      <w:r>
        <w:rPr>
          <w:bCs/>
          <w:b/>
        </w:rPr>
        <w:t xml:space="preserve">Generated Date:</w:t>
      </w:r>
      <w:r>
        <w:t xml:space="preserve"> </w:t>
      </w:r>
      <w:r>
        <w:t xml:space="preserve">May 27, 2026</w:t>
      </w:r>
    </w:p>
    <w:p>
      <w:pPr>
        <w:pStyle w:val="BodyText"/>
      </w:pPr>
      <w:r>
        <w:rPr>
          <w:bCs/>
          <w:b/>
        </w:rPr>
        <w:t xml:space="preserve">Prepared by:</w:t>
      </w:r>
      <w:r>
        <w:t xml:space="preserve"> </w:t>
      </w:r>
      <w:r>
        <w:t xml:space="preserve">tlyqpmliel, Senior Sustainability Consultant</w:t>
      </w:r>
    </w:p>
    <w:p>
      <w:pPr>
        <w:pStyle w:val="BodyText"/>
      </w:pPr>
      <w:r>
        <w:rPr>
          <w:bCs/>
          <w:b/>
        </w:rPr>
        <w:t xml:space="preserve">For:</w:t>
      </w:r>
      <w:r>
        <w:t xml:space="preserve"> </w:t>
      </w:r>
      <w:r>
        <w:t xml:space="preserve">hsqkguxrkp</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details the Product Carbon Footprint (PCF) for the hyxywzufiz, a Smart Home Device manufactured by hsqkguxrkp. The analysis adheres to the Greenhouse Gas (GHG) Protocol, encompassing Scope 1, Scope 2, and Scope 3 emissions across the product\'s lifecycle. Our assessment reveals a total cradle-to-grave PCF of</w:t>
      </w:r>
      <w:r>
        <w:t xml:space="preserve"> </w:t>
      </w:r>
      <w:r>
        <w:rPr>
          <w:bCs/>
          <w:b/>
        </w:rPr>
        <w:t xml:space="preserve">115.30 kgCO2e</w:t>
      </w:r>
      <w:r>
        <w:t xml:space="preserve"> </w:t>
      </w:r>
      <w:r>
        <w:t xml:space="preserve">per functional unit (1.0 unit of hyxywzufiz). The Use Phase is identified as the most significant contributor to the overall footprint, highlighting the importance of energy efficiency during product operation. The incorporation of circular economy principles, such as a high recyclability percentage, demonstrates a positive impact by offering avoided emissions at the End-of-Life stage.</w:t>
      </w:r>
    </w:p>
    <w:p>
      <w:r>
        <w:pict>
          <v:rect style="width:0;height:1.5pt" o:hralign="center" o:hrstd="t" o:hr="t"/>
        </w:pict>
      </w:r>
    </w:p>
    <w:bookmarkEnd w:id="22"/>
    <w:bookmarkStart w:id="23" w:name="scope-definition"/>
    <w:p>
      <w:pPr>
        <w:pStyle w:val="Heading2"/>
      </w:pPr>
      <w:r>
        <w:t xml:space="preserve">1. Scope Definition</w:t>
      </w:r>
    </w:p>
    <w:p>
      <w:pPr>
        <w:numPr>
          <w:ilvl w:val="0"/>
          <w:numId w:val="1001"/>
        </w:numPr>
        <w:pStyle w:val="Compact"/>
      </w:pPr>
      <w:r>
        <w:rPr>
          <w:bCs/>
          <w:b/>
        </w:rPr>
        <w:t xml:space="preserve">Functional Unit:</w:t>
      </w:r>
      <w:r>
        <w:t xml:space="preserve"> </w:t>
      </w:r>
      <w:r>
        <w:t xml:space="preserve">1.0 unit of hyxywzufiz (Smart Home Device).</w:t>
      </w:r>
    </w:p>
    <w:p>
      <w:pPr>
        <w:numPr>
          <w:ilvl w:val="0"/>
          <w:numId w:val="1001"/>
        </w:numPr>
        <w:pStyle w:val="Compact"/>
      </w:pPr>
      <w:r>
        <w:rPr>
          <w:bCs/>
          <w:b/>
        </w:rPr>
        <w:t xml:space="preserve">System Boundary:</w:t>
      </w:r>
      <w:r>
        <w:t xml:space="preserve"> </w:t>
      </w:r>
      <w:r>
        <w:t xml:space="preserve">Cradle-to-grave, encompassing raw material extraction, manufacturing, transportation, use phase, and end-of-life treatment. The primary focus for factory emissions is "factory_gate" for direct operational emissions, but the overall PCF extends through the entire value chain.</w:t>
      </w:r>
    </w:p>
    <w:p>
      <w:pPr>
        <w:numPr>
          <w:ilvl w:val="0"/>
          <w:numId w:val="1001"/>
        </w:numPr>
        <w:pStyle w:val="Compact"/>
      </w:pPr>
      <w:r>
        <w:rPr>
          <w:bCs/>
          <w:b/>
        </w:rPr>
        <w:t xml:space="preserve">Geographic Scope:</w:t>
      </w:r>
      <w:r>
        <w:t xml:space="preserve"> </w:t>
      </w:r>
      <w:r>
        <w:t xml:space="preserve">Final production in China, with a supply chain focus on Europe for distribution and use.</w:t>
      </w:r>
    </w:p>
    <w:p>
      <w:pPr>
        <w:numPr>
          <w:ilvl w:val="0"/>
          <w:numId w:val="1001"/>
        </w:numPr>
        <w:pStyle w:val="Compact"/>
      </w:pPr>
      <w:r>
        <w:rPr>
          <w:bCs/>
          <w:b/>
        </w:rPr>
        <w:t xml:space="preserve">Accounting Standard:</w:t>
      </w:r>
      <w:r>
        <w:t xml:space="preserve"> </w:t>
      </w:r>
      <w:r>
        <w:t xml:space="preserve">GHG Protocol Product Life Cycle Accounting and Reporting Standard. Emissions are categorized into Scope 1 (direct emissions), Scope 2 (purchased energy), and Scope 3 (all other indirect emissions across the value chain).</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throughout the lifecycle.</w:t>
      </w:r>
    </w:p>
    <w:p>
      <w:r>
        <w:pict>
          <v:rect style="width:0;height:1.5pt" o:hralign="center" o:hrstd="t" o:hr="t"/>
        </w:pict>
      </w:r>
    </w:p>
    <w:bookmarkEnd w:id="23"/>
    <w:bookmarkStart w:id="29" w:name="Xf9aefb2ea8883b9018cac308e12ad149b847e49"/>
    <w:p>
      <w:pPr>
        <w:pStyle w:val="Heading2"/>
      </w:pPr>
      <w:r>
        <w:t xml:space="preserve">2. &amp; 3. Lifecycle Mapping &amp; Data Collection (LCI Inventory)</w:t>
      </w:r>
    </w:p>
    <w:p>
      <w:pPr>
        <w:pStyle w:val="FirstParagraph"/>
      </w:pPr>
      <w:r>
        <w:t xml:space="preserve">The lifecycle of the hyxywzufiz Smart Home Device is mapped across five key stages: Materials Acquisition, Production, Transportation, Use Phase, and End-of-Life. Data was collected from the provided Bill of Materials (BOM), specific logistics parameters, energy consumption figures, and industry-standard emission factors (e.g., from Ecoinvent/DEFRA equivalents for illustrative purposes where specific data was not provided).</w:t>
      </w:r>
    </w:p>
    <w:bookmarkStart w:id="24" w:name="X0411cf4e1d7e5c7be733a0b22adf8a3df77fd96"/>
    <w:p>
      <w:pPr>
        <w:pStyle w:val="Heading3"/>
      </w:pPr>
      <w:r>
        <w:t xml:space="preserve">Detailed Bill of Materials (BOM) &amp; Material Impact (Scope 3, Category 1)</w:t>
      </w:r>
    </w:p>
    <w:p>
      <w:pPr>
        <w:pStyle w:val="FirstParagraph"/>
      </w:pPr>
      <w:r>
        <w:t xml:space="preserve">The following table presents the detailed breakdown of materials for the hyxywzufiz, including their quantities and associated carbon emissions based on cradle-to-gate emission factors. It is noted that "izviswin" was interpreted as the structure for this BOM, and specific values for quantities and emission factors were simulated based on plausible data for a Smart Home Device, using sourced industry averages where available or reasonable estimations for complex components (e.g., PCB, Small Electronic Components, Copper Wiring).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3.125311</w:t>
            </w:r>
          </w:p>
        </w:tc>
        <w:tc>
          <w:tcPr/>
          <w:p>
            <w:pPr>
              <w:pStyle w:val="Compact"/>
              <w:jc w:val="left"/>
            </w:pPr>
            <w:r>
              <w:t xml:space="preserve">0.7813</w:t>
            </w:r>
          </w:p>
        </w:tc>
      </w:tr>
      <w:tr>
        <w:tc>
          <w:tcPr/>
          <w:p>
            <w:pPr>
              <w:pStyle w:val="Compact"/>
              <w:jc w:val="left"/>
            </w:pPr>
            <w:r>
              <w:t xml:space="preserve">2</w:t>
            </w:r>
          </w:p>
        </w:tc>
        <w:tc>
          <w:tcPr/>
          <w:p>
            <w:pPr>
              <w:pStyle w:val="Compact"/>
              <w:jc w:val="left"/>
            </w:pPr>
            <w:r>
              <w:t xml:space="preserve">FR-4 PCB with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10.00 (estimated)</w:t>
            </w:r>
          </w:p>
        </w:tc>
        <w:tc>
          <w:tcPr/>
          <w:p>
            <w:pPr>
              <w:pStyle w:val="Compact"/>
              <w:jc w:val="left"/>
            </w:pPr>
            <w:r>
              <w:t xml:space="preserve">0.5000</w:t>
            </w:r>
          </w:p>
        </w:tc>
      </w:tr>
      <w:tr>
        <w:tc>
          <w:tcPr/>
          <w:p>
            <w:pPr>
              <w:pStyle w:val="Compact"/>
              <w:jc w:val="left"/>
            </w:pPr>
            <w:r>
              <w:t xml:space="preserve">3</w:t>
            </w:r>
          </w:p>
        </w:tc>
        <w:tc>
          <w:tcPr/>
          <w:p>
            <w:pPr>
              <w:pStyle w:val="Compact"/>
              <w:jc w:val="left"/>
            </w:pPr>
            <w:r>
              <w:t xml:space="preserve">Aluminium Heat Sink</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14.77</w:t>
            </w:r>
          </w:p>
        </w:tc>
        <w:tc>
          <w:tcPr/>
          <w:p>
            <w:pPr>
              <w:pStyle w:val="Compact"/>
              <w:jc w:val="left"/>
            </w:pPr>
            <w:r>
              <w:t xml:space="preserve">1.1816</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Production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6.308</w:t>
            </w:r>
          </w:p>
        </w:tc>
        <w:tc>
          <w:tcPr/>
          <w:p>
            <w:pPr>
              <w:pStyle w:val="Compact"/>
              <w:jc w:val="left"/>
            </w:pPr>
            <w:r>
              <w:t xml:space="preserve">0.1262</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3.00 (estimated)</w:t>
            </w:r>
          </w:p>
        </w:tc>
        <w:tc>
          <w:tcPr/>
          <w:p>
            <w:pPr>
              <w:pStyle w:val="Compact"/>
              <w:jc w:val="left"/>
            </w:pPr>
            <w:r>
              <w:t xml:space="preserve">0.0300</w:t>
            </w:r>
          </w:p>
        </w:tc>
      </w:tr>
      <w:tr>
        <w:tc>
          <w:tcPr/>
          <w:p>
            <w:pPr>
              <w:pStyle w:val="Compact"/>
              <w:jc w:val="left"/>
            </w:pPr>
            <w:r>
              <w:t xml:space="preserve">6</w:t>
            </w:r>
          </w:p>
        </w:tc>
        <w:tc>
          <w:tcPr/>
          <w:p>
            <w:pPr>
              <w:pStyle w:val="Compact"/>
              <w:jc w:val="left"/>
            </w:pPr>
            <w:r>
              <w:t xml:space="preserve">Small 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0.09</w:t>
            </w:r>
          </w:p>
        </w:tc>
        <w:tc>
          <w:tcPr/>
          <w:p>
            <w:pPr>
              <w:pStyle w:val="Compact"/>
              <w:jc w:val="left"/>
            </w:pPr>
            <w:r>
              <w:t xml:space="preserve">kg</w:t>
            </w:r>
          </w:p>
        </w:tc>
        <w:tc>
          <w:tcPr/>
          <w:p>
            <w:pPr>
              <w:pStyle w:val="Compact"/>
              <w:jc w:val="left"/>
            </w:pPr>
            <w:r>
              <w:t xml:space="preserve">8.00 (estimated)</w:t>
            </w:r>
          </w:p>
        </w:tc>
        <w:tc>
          <w:tcPr/>
          <w:p>
            <w:pPr>
              <w:pStyle w:val="Compact"/>
              <w:jc w:val="left"/>
            </w:pPr>
            <w:r>
              <w:t xml:space="preserve">0.7200</w:t>
            </w:r>
          </w:p>
        </w:tc>
      </w:tr>
      <w:tr>
        <w:tc>
          <w:tcPr/>
          <w:p>
            <w:pPr>
              <w:pStyle w:val="Compact"/>
              <w:jc w:val="left"/>
            </w:pPr>
            <w:r>
              <w:t xml:space="preserve">7</w:t>
            </w:r>
          </w:p>
        </w:tc>
        <w:tc>
          <w:tcPr/>
          <w:p>
            <w:pPr>
              <w:pStyle w:val="Compact"/>
              <w:jc w:val="left"/>
            </w:pPr>
            <w:r>
              <w:t xml:space="preserve">Cardboard Packaging (Virgin)</w:t>
            </w:r>
          </w:p>
        </w:tc>
        <w:tc>
          <w:tcPr/>
          <w:p>
            <w:pPr>
              <w:pStyle w:val="Compact"/>
              <w:jc w:val="left"/>
            </w:pPr>
            <w:r>
              <w:t xml:space="preserve">Packaging</w:t>
            </w:r>
          </w:p>
        </w:tc>
        <w:tc>
          <w:tcPr/>
          <w:p>
            <w:pPr>
              <w:pStyle w:val="Compact"/>
              <w:jc w:val="left"/>
            </w:pPr>
            <w:r>
              <w:t xml:space="preserve">Primary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1.00 (average)</w:t>
            </w:r>
          </w:p>
        </w:tc>
        <w:tc>
          <w:tcPr/>
          <w:p>
            <w:pPr>
              <w:pStyle w:val="Compact"/>
              <w:jc w:val="left"/>
            </w:pPr>
            <w:r>
              <w:t xml:space="preserve">0.1000</w:t>
            </w:r>
          </w:p>
        </w:tc>
      </w:tr>
      <w:tr>
        <w:tc>
          <w:tcPr>
            <w:gridSpan w:val="4"/>
          </w:tcPr>
          <w:p>
            <w:pPr>
              <w:pStyle w:val="Compact"/>
              <w:jc w:val="left"/>
            </w:pPr>
            <w:r>
              <w:rPr>
                <w:bCs/>
                <w:b/>
              </w:rPr>
              <w:t xml:space="preserve">Total Material &amp; Packaging PCF</w:t>
            </w:r>
          </w:p>
        </w:tc>
        <w:tc>
          <w:tcPr/>
          <w:p>
            <w:pPr>
              <w:pStyle w:val="Compact"/>
              <w:jc w:val="left"/>
            </w:pPr>
            <w:r>
              <w:rPr>
                <w:bCs/>
                <w:b/>
              </w:rPr>
              <w:t xml:space="preserve">0.60</w:t>
            </w:r>
          </w:p>
        </w:tc>
        <w:tc>
          <w:tcPr/>
          <w:p>
            <w:pPr>
              <w:pStyle w:val="Compact"/>
              <w:jc w:val="left"/>
            </w:pPr>
            <w:r>
              <w:rPr>
                <w:bCs/>
                <w:b/>
              </w:rPr>
              <w:t xml:space="preserve">kg</w:t>
            </w:r>
          </w:p>
        </w:tc>
        <w:tc>
          <w:tcPr/>
          <w:p>
            <w:pPr>
              <w:pStyle w:val="Compact"/>
            </w:pPr>
          </w:p>
        </w:tc>
        <w:tc>
          <w:tcPr/>
          <w:p>
            <w:pPr>
              <w:pStyle w:val="Compact"/>
              <w:jc w:val="left"/>
            </w:pPr>
            <w:r>
              <w:rPr>
                <w:bCs/>
                <w:b/>
              </w:rPr>
              <w:t xml:space="preserve">3.4391</w:t>
            </w:r>
          </w:p>
        </w:tc>
      </w:tr>
    </w:tbl>
    <w:bookmarkEnd w:id="24"/>
    <w:bookmarkStart w:id="25" w:name="production-energy-inputs-scope-2"/>
    <w:p>
      <w:pPr>
        <w:pStyle w:val="Heading3"/>
      </w:pPr>
      <w:r>
        <w:t xml:space="preserve">Production Energy Inputs (Scope 2)</w:t>
      </w:r>
    </w:p>
    <w:p>
      <w:pPr>
        <w:numPr>
          <w:ilvl w:val="0"/>
          <w:numId w:val="1002"/>
        </w:numPr>
        <w:pStyle w:val="Compact"/>
      </w:pPr>
      <w:r>
        <w:rPr>
          <w:bCs/>
          <w:b/>
        </w:rPr>
        <w:t xml:space="preserve">Energy Intensity (fqmiozpuix):</w:t>
      </w:r>
      <w:r>
        <w:t xml:space="preserve"> </w:t>
      </w:r>
      <w:r>
        <w:t xml:space="preserve">10 kWh per unit.</w:t>
      </w:r>
    </w:p>
    <w:p>
      <w:pPr>
        <w:numPr>
          <w:ilvl w:val="0"/>
          <w:numId w:val="1002"/>
        </w:numPr>
        <w:pStyle w:val="Compact"/>
      </w:pPr>
      <w:r>
        <w:rPr>
          <w:bCs/>
          <w:b/>
        </w:rPr>
        <w:t xml:space="preserve">Renewable Energy Usage (pdqsuzlxdn):</w:t>
      </w:r>
      <w:r>
        <w:t xml:space="preserve"> </w:t>
      </w:r>
      <w:r>
        <w:t xml:space="preserve">50%.</w:t>
      </w:r>
    </w:p>
    <w:p>
      <w:pPr>
        <w:numPr>
          <w:ilvl w:val="0"/>
          <w:numId w:val="1002"/>
        </w:numPr>
        <w:pStyle w:val="Compact"/>
      </w:pPr>
      <w:r>
        <w:rPr>
          <w:bCs/>
          <w:b/>
        </w:rPr>
        <w:t xml:space="preserve">Non-renewable Electricity:</w:t>
      </w:r>
      <w:r>
        <w:t xml:space="preserve"> </w:t>
      </w:r>
      <w:r>
        <w:t xml:space="preserve">5 kWh/unit.</w:t>
      </w:r>
    </w:p>
    <w:p>
      <w:pPr>
        <w:numPr>
          <w:ilvl w:val="0"/>
          <w:numId w:val="1002"/>
        </w:numPr>
        <w:pStyle w:val="Compact"/>
      </w:pPr>
      <w:r>
        <w:rPr>
          <w:bCs/>
          <w:b/>
        </w:rPr>
        <w:t xml:space="preserve">Renewable Electricity:</w:t>
      </w:r>
      <w:r>
        <w:t xml:space="preserve"> </w:t>
      </w:r>
      <w:r>
        <w:t xml:space="preserve">5 kWh/unit.</w:t>
      </w:r>
    </w:p>
    <w:p>
      <w:pPr>
        <w:numPr>
          <w:ilvl w:val="0"/>
          <w:numId w:val="1002"/>
        </w:numPr>
        <w:pStyle w:val="Compact"/>
      </w:pPr>
      <w:r>
        <w:rPr>
          <w:bCs/>
          <w:b/>
        </w:rPr>
        <w:t xml:space="preserve">Electricity Grid Emission Factor (China):</w:t>
      </w:r>
      <w:r>
        <w:t xml:space="preserve"> </w:t>
      </w:r>
      <w:r>
        <w:t xml:space="preserve">0.6205 kgCO2e/kWh (2023 National Average).</w:t>
      </w:r>
    </w:p>
    <w:p>
      <w:pPr>
        <w:numPr>
          <w:ilvl w:val="0"/>
          <w:numId w:val="1002"/>
        </w:numPr>
        <w:pStyle w:val="Compact"/>
      </w:pPr>
      <w:r>
        <w:rPr>
          <w:bCs/>
          <w:b/>
        </w:rPr>
        <w:t xml:space="preserve">Renewable Energy Emission Factor:</w:t>
      </w:r>
      <w:r>
        <w:t xml:space="preserve"> </w:t>
      </w:r>
      <w:r>
        <w:t xml:space="preserve">0 kgCO2e/kWh (assumed for certified renewable sources).</w:t>
      </w:r>
    </w:p>
    <w:bookmarkEnd w:id="25"/>
    <w:bookmarkStart w:id="26" w:name="logistics-data-scope-3-category-4"/>
    <w:p>
      <w:pPr>
        <w:pStyle w:val="Heading3"/>
      </w:pPr>
      <w:r>
        <w:t xml:space="preserve">Logistics Data (Scope 3, Category 4)</w:t>
      </w:r>
    </w:p>
    <w:p>
      <w:pPr>
        <w:numPr>
          <w:ilvl w:val="0"/>
          <w:numId w:val="1003"/>
        </w:numPr>
        <w:pStyle w:val="Compact"/>
      </w:pPr>
      <w:r>
        <w:rPr>
          <w:bCs/>
          <w:b/>
        </w:rPr>
        <w:t xml:space="preserve">Product Weight (total for transport):</w:t>
      </w:r>
      <w:r>
        <w:t xml:space="preserve"> </w:t>
      </w:r>
      <w:r>
        <w:t xml:space="preserve">0.6 kg (0.5 kg device + 0.1 kg packaging).</w:t>
      </w:r>
    </w:p>
    <w:p>
      <w:pPr>
        <w:numPr>
          <w:ilvl w:val="0"/>
          <w:numId w:val="1003"/>
        </w:numPr>
        <w:pStyle w:val="Compact"/>
      </w:pPr>
      <w:r>
        <w:rPr>
          <w:bCs/>
          <w:b/>
        </w:rPr>
        <w:t xml:space="preserve">Raw Materials Inbound to China Factory (Road):</w:t>
      </w:r>
    </w:p>
    <w:p>
      <w:pPr>
        <w:numPr>
          <w:ilvl w:val="1"/>
          <w:numId w:val="1004"/>
        </w:numPr>
        <w:pStyle w:val="Compact"/>
      </w:pPr>
      <w:r>
        <w:rPr>
          <w:bCs/>
          <w:b/>
        </w:rPr>
        <w:t xml:space="preserve">Distance:</w:t>
      </w:r>
      <w:r>
        <w:t xml:space="preserve"> </w:t>
      </w:r>
      <w:r>
        <w:t xml:space="preserve">1,000 km.</w:t>
      </w:r>
    </w:p>
    <w:p>
      <w:pPr>
        <w:numPr>
          <w:ilvl w:val="1"/>
          <w:numId w:val="1004"/>
        </w:numPr>
        <w:pStyle w:val="Compact"/>
      </w:pPr>
      <w:r>
        <w:rPr>
          <w:bCs/>
          <w:b/>
        </w:rPr>
        <w:t xml:space="preserve">Transport Mode:</w:t>
      </w:r>
      <w:r>
        <w:t xml:space="preserve"> </w:t>
      </w:r>
      <w:r>
        <w:t xml:space="preserve">Road Freight (Heavy Truck).</w:t>
      </w:r>
    </w:p>
    <w:p>
      <w:pPr>
        <w:numPr>
          <w:ilvl w:val="1"/>
          <w:numId w:val="1004"/>
        </w:numPr>
        <w:pStyle w:val="Compact"/>
      </w:pPr>
      <w:r>
        <w:rPr>
          <w:bCs/>
          <w:b/>
        </w:rPr>
        <w:t xml:space="preserve">Emission Factor:</w:t>
      </w:r>
      <w:r>
        <w:t xml:space="preserve"> </w:t>
      </w:r>
      <w:r>
        <w:t xml:space="preserve">0.08 kgCO2e/tonne-km.</w:t>
      </w:r>
    </w:p>
    <w:p>
      <w:pPr>
        <w:numPr>
          <w:ilvl w:val="0"/>
          <w:numId w:val="1003"/>
        </w:numPr>
        <w:pStyle w:val="Compact"/>
      </w:pPr>
      <w:r>
        <w:rPr>
          <w:bCs/>
          <w:b/>
        </w:rPr>
        <w:t xml:space="preserve">Finished Product from China to Europe (Sea Freight):</w:t>
      </w:r>
    </w:p>
    <w:p>
      <w:pPr>
        <w:numPr>
          <w:ilvl w:val="1"/>
          <w:numId w:val="1005"/>
        </w:numPr>
        <w:pStyle w:val="Compact"/>
      </w:pPr>
      <w:r>
        <w:rPr>
          <w:bCs/>
          <w:b/>
        </w:rPr>
        <w:t xml:space="preserve">Distance:</w:t>
      </w:r>
      <w:r>
        <w:t xml:space="preserve"> </w:t>
      </w:r>
      <w:r>
        <w:t xml:space="preserve">15,000 km (klmmunxidq).</w:t>
      </w:r>
    </w:p>
    <w:p>
      <w:pPr>
        <w:numPr>
          <w:ilvl w:val="1"/>
          <w:numId w:val="1005"/>
        </w:numPr>
        <w:pStyle w:val="Compact"/>
      </w:pPr>
      <w:r>
        <w:rPr>
          <w:bCs/>
          <w:b/>
        </w:rPr>
        <w:t xml:space="preserve">Transport Mode:</w:t>
      </w:r>
      <w:r>
        <w:t xml:space="preserve"> </w:t>
      </w:r>
      <w:r>
        <w:t xml:space="preserve">Sea Freight (Container Ship, Select Mode).</w:t>
      </w:r>
    </w:p>
    <w:p>
      <w:pPr>
        <w:numPr>
          <w:ilvl w:val="1"/>
          <w:numId w:val="1005"/>
        </w:numPr>
        <w:pStyle w:val="Compact"/>
      </w:pPr>
      <w:r>
        <w:rPr>
          <w:bCs/>
          <w:b/>
        </w:rPr>
        <w:t xml:space="preserve">Emission Factor:</w:t>
      </w:r>
      <w:r>
        <w:t xml:space="preserve"> </w:t>
      </w:r>
      <w:r>
        <w:t xml:space="preserve">0.016142 kgCO2e/tonne-km.</w:t>
      </w:r>
    </w:p>
    <w:p>
      <w:pPr>
        <w:numPr>
          <w:ilvl w:val="0"/>
          <w:numId w:val="1003"/>
        </w:numPr>
        <w:pStyle w:val="Compact"/>
      </w:pPr>
      <w:r>
        <w:rPr>
          <w:bCs/>
          <w:b/>
        </w:rPr>
        <w:t xml:space="preserve">Finished Product European Distribution to Customer (Last-Mile Delivery):</w:t>
      </w:r>
    </w:p>
    <w:p>
      <w:pPr>
        <w:numPr>
          <w:ilvl w:val="1"/>
          <w:numId w:val="1006"/>
        </w:numPr>
        <w:pStyle w:val="Compact"/>
      </w:pPr>
      <w:r>
        <w:rPr>
          <w:bCs/>
          <w:b/>
        </w:rPr>
        <w:t xml:space="preserve">Distance:</w:t>
      </w:r>
      <w:r>
        <w:t xml:space="preserve"> </w:t>
      </w:r>
      <w:r>
        <w:t xml:space="preserve">200 km.</w:t>
      </w:r>
    </w:p>
    <w:p>
      <w:pPr>
        <w:numPr>
          <w:ilvl w:val="1"/>
          <w:numId w:val="1006"/>
        </w:numPr>
        <w:pStyle w:val="Compact"/>
      </w:pPr>
      <w:r>
        <w:rPr>
          <w:bCs/>
          <w:b/>
        </w:rPr>
        <w:t xml:space="preserve">Transport Mode:</w:t>
      </w:r>
      <w:r>
        <w:t xml:space="preserve"> </w:t>
      </w:r>
      <w:r>
        <w:t xml:space="preserve">Road Freight (Light Van, Delivery Type).</w:t>
      </w:r>
    </w:p>
    <w:p>
      <w:pPr>
        <w:numPr>
          <w:ilvl w:val="1"/>
          <w:numId w:val="1006"/>
        </w:numPr>
        <w:pStyle w:val="Compact"/>
      </w:pPr>
      <w:r>
        <w:rPr>
          <w:bCs/>
          <w:b/>
        </w:rPr>
        <w:t xml:space="preserve">Emission Factor:</w:t>
      </w:r>
      <w:r>
        <w:t xml:space="preserve"> </w:t>
      </w:r>
      <w:r>
        <w:t xml:space="preserve">0.15 kgCO2e/tonne-km.</w:t>
      </w:r>
    </w:p>
    <w:bookmarkEnd w:id="26"/>
    <w:bookmarkStart w:id="27" w:name="use-phase-data-scope-3-category-11"/>
    <w:p>
      <w:pPr>
        <w:pStyle w:val="Heading3"/>
      </w:pPr>
      <w:r>
        <w:t xml:space="preserve">Use Phase Data (Scope 3, Category 11)</w:t>
      </w:r>
    </w:p>
    <w:p>
      <w:pPr>
        <w:numPr>
          <w:ilvl w:val="0"/>
          <w:numId w:val="1007"/>
        </w:numPr>
        <w:pStyle w:val="Compact"/>
      </w:pPr>
      <w:r>
        <w:rPr>
          <w:bCs/>
          <w:b/>
        </w:rPr>
        <w:t xml:space="preserve">Product Lifespan (jygthjperu):</w:t>
      </w:r>
      <w:r>
        <w:t xml:space="preserve"> </w:t>
      </w:r>
      <w:r>
        <w:t xml:space="preserve">5 years (1825 days).</w:t>
      </w:r>
    </w:p>
    <w:p>
      <w:pPr>
        <w:numPr>
          <w:ilvl w:val="0"/>
          <w:numId w:val="1007"/>
        </w:numPr>
        <w:pStyle w:val="Compact"/>
      </w:pPr>
      <w:r>
        <w:rPr>
          <w:bCs/>
          <w:b/>
        </w:rPr>
        <w:t xml:space="preserve">Energy Consumption in Use (hyieukmklr):</w:t>
      </w:r>
      <w:r>
        <w:t xml:space="preserve"> </w:t>
      </w:r>
      <w:r>
        <w:t xml:space="preserve">0.24 kWh/day (0.01 kWh/hour * 24 hours).</w:t>
      </w:r>
    </w:p>
    <w:p>
      <w:pPr>
        <w:numPr>
          <w:ilvl w:val="0"/>
          <w:numId w:val="1007"/>
        </w:numPr>
        <w:pStyle w:val="Compact"/>
      </w:pPr>
      <w:r>
        <w:rPr>
          <w:bCs/>
          <w:b/>
        </w:rPr>
        <w:t xml:space="preserve">Electricity Grid Emission Factor (Europe Average):</w:t>
      </w:r>
      <w:r>
        <w:t xml:space="preserve"> </w:t>
      </w:r>
      <w:r>
        <w:t xml:space="preserve">0.25 kgCO2e/kWh (estimated average for the use region).</w:t>
      </w:r>
    </w:p>
    <w:bookmarkEnd w:id="27"/>
    <w:bookmarkStart w:id="28" w:name="end-of-life-data-scope-3-category-12"/>
    <w:p>
      <w:pPr>
        <w:pStyle w:val="Heading3"/>
      </w:pPr>
      <w:r>
        <w:t xml:space="preserve">End-of-Life Data (Scope 3, Category 12)</w:t>
      </w:r>
    </w:p>
    <w:p>
      <w:pPr>
        <w:numPr>
          <w:ilvl w:val="0"/>
          <w:numId w:val="1008"/>
        </w:numPr>
        <w:pStyle w:val="Compact"/>
      </w:pPr>
      <w:r>
        <w:rPr>
          <w:bCs/>
          <w:b/>
        </w:rPr>
        <w:t xml:space="preserve">Recyclability Percentage (lttfykexup):</w:t>
      </w:r>
      <w:r>
        <w:t xml:space="preserve"> </w:t>
      </w:r>
      <w:r>
        <w:t xml:space="preserve">70% of material weight (excluding packaging, as often separated).</w:t>
      </w:r>
    </w:p>
    <w:p>
      <w:pPr>
        <w:numPr>
          <w:ilvl w:val="0"/>
          <w:numId w:val="1008"/>
        </w:numPr>
        <w:pStyle w:val="Compact"/>
      </w:pPr>
      <w:r>
        <w:rPr>
          <w:bCs/>
          <w:b/>
        </w:rPr>
        <w:t xml:space="preserve">Circular/Take-back Programs (oqywkzuoru):</w:t>
      </w:r>
      <w:r>
        <w:t xml:space="preserve"> </w:t>
      </w:r>
      <w:r>
        <w:t xml:space="preserve">Yes.</w:t>
      </w:r>
    </w:p>
    <w:p>
      <w:pPr>
        <w:numPr>
          <w:ilvl w:val="0"/>
          <w:numId w:val="1008"/>
        </w:numPr>
        <w:pStyle w:val="Compact"/>
      </w:pPr>
      <w:r>
        <w:rPr>
          <w:bCs/>
          <w:b/>
        </w:rPr>
        <w:t xml:space="preserve">Non-recycled Waste Treatment:</w:t>
      </w:r>
      <w:r>
        <w:t xml:space="preserve"> </w:t>
      </w:r>
      <w:r>
        <w:t xml:space="preserve">Assumed Incineration for remaining 30% of materials.</w:t>
      </w:r>
    </w:p>
    <w:p>
      <w:pPr>
        <w:numPr>
          <w:ilvl w:val="1"/>
          <w:numId w:val="1009"/>
        </w:numPr>
        <w:pStyle w:val="Compact"/>
      </w:pPr>
      <w:r>
        <w:rPr>
          <w:bCs/>
          <w:b/>
        </w:rPr>
        <w:t xml:space="preserve">Incineration Emission Factor (Plastics):</w:t>
      </w:r>
      <w:r>
        <w:t xml:space="preserve"> </w:t>
      </w:r>
      <w:r>
        <w:t xml:space="preserve">2.7625 kgCO2e/kg.</w:t>
      </w:r>
    </w:p>
    <w:p>
      <w:pPr>
        <w:numPr>
          <w:ilvl w:val="0"/>
          <w:numId w:val="1008"/>
        </w:numPr>
        <w:pStyle w:val="Compact"/>
      </w:pPr>
      <w:r>
        <w:rPr>
          <w:bCs/>
          <w:b/>
        </w:rPr>
        <w:t xml:space="preserve">Recycling Avoided Emissions:</w:t>
      </w:r>
      <w:r>
        <w:t xml:space="preserve"> </w:t>
      </w:r>
      <w:r>
        <w:t xml:space="preserve">Based on displacing virgin material production.</w:t>
      </w:r>
    </w:p>
    <w:p>
      <w:pPr>
        <w:numPr>
          <w:ilvl w:val="1"/>
          <w:numId w:val="1010"/>
        </w:numPr>
        <w:pStyle w:val="Compact"/>
      </w:pPr>
      <w:r>
        <w:rPr>
          <w:bCs/>
          <w:b/>
        </w:rPr>
        <w:t xml:space="preserve">Avoided EF (ABS Plastic):</w:t>
      </w:r>
      <w:r>
        <w:t xml:space="preserve"> </w:t>
      </w:r>
      <w:r>
        <w:t xml:space="preserve">2.535 kgCO2e/kg (81% reduction from virgin).</w:t>
      </w:r>
    </w:p>
    <w:p>
      <w:pPr>
        <w:numPr>
          <w:ilvl w:val="1"/>
          <w:numId w:val="1010"/>
        </w:numPr>
        <w:pStyle w:val="Compact"/>
      </w:pPr>
      <w:r>
        <w:rPr>
          <w:bCs/>
          <w:b/>
        </w:rPr>
        <w:t xml:space="preserve">Avoided EF (Aluminium):</w:t>
      </w:r>
      <w:r>
        <w:t xml:space="preserve"> </w:t>
      </w:r>
      <w:r>
        <w:t xml:space="preserve">13.27 kgCO2e/kg (primary EF 14.77 - recycled EF 1.5).</w:t>
      </w:r>
    </w:p>
    <w:p>
      <w:pPr>
        <w:numPr>
          <w:ilvl w:val="1"/>
          <w:numId w:val="1010"/>
        </w:numPr>
        <w:pStyle w:val="Compact"/>
      </w:pPr>
      <w:r>
        <w:rPr>
          <w:bCs/>
          <w:b/>
        </w:rPr>
        <w:t xml:space="preserve">Avoided EF (Other Materials - estimated):</w:t>
      </w:r>
      <w:r>
        <w:t xml:space="preserve"> </w:t>
      </w:r>
      <w:r>
        <w:t xml:space="preserve">2.0 kgCO2e/kg.</w:t>
      </w:r>
    </w:p>
    <w:p>
      <w:r>
        <w:pict>
          <v:rect style="width:0;height:1.5pt" o:hralign="center" o:hrstd="t" o:hr="t"/>
        </w:pict>
      </w:r>
    </w:p>
    <w:bookmarkEnd w:id="28"/>
    <w:bookmarkEnd w:id="29"/>
    <w:bookmarkStart w:id="32" w:name="X439a6e6dcb43c636bf515ffaf3f59bce0bd6490"/>
    <w:p>
      <w:pPr>
        <w:pStyle w:val="Heading2"/>
      </w:pPr>
      <w:r>
        <w:t xml:space="preserve">4. Emission Calculation (Activity * Emission Factor = CO2e)</w:t>
      </w:r>
    </w:p>
    <w:bookmarkStart w:id="30" w:name="Xdddf136b7a4b7e591166f14165b90f6a17c3172"/>
    <w:p>
      <w:pPr>
        <w:pStyle w:val="Heading3"/>
      </w:pPr>
      <w:r>
        <w:t xml:space="preserve">Total Product Carbon Footprint (PCF) by Scope and Category: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w:t>
            </w:r>
          </w:p>
        </w:tc>
        <w:tc>
          <w:tcPr/>
          <w:p>
            <w:pPr>
              <w:pStyle w:val="Compact"/>
              <w:jc w:val="left"/>
            </w:pPr>
            <w:r>
              <w:t xml:space="preserve">GHG Protocol Category</w:t>
            </w:r>
          </w:p>
        </w:tc>
        <w:tc>
          <w:tcPr/>
          <w:p>
            <w:pPr>
              <w:pStyle w:val="Compact"/>
              <w:jc w:val="left"/>
            </w:pPr>
            <w:r>
              <w:t xml:space="preserve">Activity</w:t>
            </w:r>
          </w:p>
        </w:tc>
        <w:tc>
          <w:tcPr/>
          <w:p>
            <w:pPr>
              <w:pStyle w:val="Compact"/>
              <w:jc w:val="left"/>
            </w:pPr>
            <w:r>
              <w:t xml:space="preserve">Emission Factor</w:t>
            </w:r>
          </w:p>
        </w:tc>
        <w:tc>
          <w:tcPr/>
          <w:p>
            <w:pPr>
              <w:pStyle w:val="Compact"/>
              <w:jc w:val="left"/>
            </w:pPr>
            <w:r>
              <w:t xml:space="preserve">Total CO2e (kg)</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N/A (No direct fuel combustion reported)</w:t>
            </w:r>
          </w:p>
        </w:tc>
        <w:tc>
          <w:tcPr/>
          <w:p>
            <w:pPr>
              <w:pStyle w:val="Compact"/>
              <w:jc w:val="left"/>
            </w:pPr>
            <w:r>
              <w:t xml:space="preserve">N/A</w:t>
            </w:r>
          </w:p>
        </w:tc>
        <w:tc>
          <w:tcPr/>
          <w:p>
            <w:pPr>
              <w:pStyle w:val="Compact"/>
              <w:jc w:val="left"/>
            </w:pPr>
            <w:r>
              <w:rPr>
                <w:bCs/>
                <w:b/>
              </w:rPr>
              <w:t xml:space="preserve">0.00</w:t>
            </w:r>
          </w:p>
        </w:tc>
      </w:tr>
      <w:tr>
        <w:tc>
          <w:tcPr/>
          <w:p>
            <w:pPr>
              <w:pStyle w:val="Compact"/>
              <w:jc w:val="left"/>
            </w:pPr>
            <w:r>
              <w:rPr>
                <w:bCs/>
                <w:b/>
              </w:rPr>
              <w:t xml:space="preserve">Scope 2</w:t>
            </w:r>
          </w:p>
        </w:tc>
        <w:tc>
          <w:tcPr/>
          <w:p>
            <w:pPr>
              <w:pStyle w:val="Compact"/>
              <w:jc w:val="left"/>
            </w:pPr>
            <w:r>
              <w:t xml:space="preserve">Purchased Electricity</w:t>
            </w:r>
          </w:p>
        </w:tc>
        <w:tc>
          <w:tcPr/>
          <w:p>
            <w:pPr>
              <w:pStyle w:val="Compact"/>
              <w:jc w:val="left"/>
            </w:pPr>
            <w:r>
              <w:t xml:space="preserve">5 kWh (non-renewable production)</w:t>
            </w:r>
          </w:p>
        </w:tc>
        <w:tc>
          <w:tcPr/>
          <w:p>
            <w:pPr>
              <w:pStyle w:val="Compact"/>
              <w:jc w:val="left"/>
            </w:pPr>
            <w:r>
              <w:t xml:space="preserve">0.6205 kgCO2e/kWh</w:t>
            </w:r>
          </w:p>
        </w:tc>
        <w:tc>
          <w:tcPr/>
          <w:p>
            <w:pPr>
              <w:pStyle w:val="Compact"/>
              <w:jc w:val="left"/>
            </w:pPr>
            <w:r>
              <w:rPr>
                <w:bCs/>
                <w:b/>
              </w:rPr>
              <w:t xml:space="preserve">3.10</w:t>
            </w:r>
          </w:p>
        </w:tc>
      </w:tr>
      <w:tr>
        <w:tc>
          <w:tcPr>
            <w:vMerge w:val="restart"/>
          </w:tcPr>
          <w:p>
            <w:pPr>
              <w:pStyle w:val="Compact"/>
              <w:jc w:val="left"/>
            </w:pPr>
            <w:r>
              <w:rPr>
                <w:bCs/>
                <w:b/>
              </w:rPr>
              <w:t xml:space="preserve">Scope 3</w:t>
            </w:r>
          </w:p>
        </w:tc>
        <w:tc>
          <w:tcPr/>
          <w:p>
            <w:pPr>
              <w:pStyle w:val="Compact"/>
              <w:jc w:val="left"/>
            </w:pPr>
            <w:r>
              <w:t xml:space="preserve">1: Purchased Goods and Services (Materials)</w:t>
            </w:r>
          </w:p>
        </w:tc>
        <w:tc>
          <w:tcPr/>
          <w:p>
            <w:pPr>
              <w:pStyle w:val="Compact"/>
              <w:jc w:val="left"/>
            </w:pPr>
            <w:r>
              <w:t xml:space="preserve">0.60 kg materials</w:t>
            </w:r>
          </w:p>
        </w:tc>
        <w:tc>
          <w:tcPr/>
          <w:p>
            <w:pPr>
              <w:pStyle w:val="Compact"/>
              <w:jc w:val="left"/>
            </w:pPr>
            <w:r>
              <w:t xml:space="preserve">(Aggregated from BOM)</w:t>
            </w:r>
          </w:p>
        </w:tc>
        <w:tc>
          <w:tcPr/>
          <w:p>
            <w:pPr>
              <w:pStyle w:val="Compact"/>
              <w:jc w:val="left"/>
            </w:pPr>
            <w:r>
              <w:t xml:space="preserve">3.44</w:t>
            </w:r>
          </w:p>
        </w:tc>
      </w:tr>
      <w:tr>
        <w:tc>
          <w:tcPr>
            <w:gridSpan w:val="1"/>
            <w:vMerge w:val="continue"/>
          </w:tcPr>
          <w:p>
            <w:pPr/>
          </w:p>
        </w:tc>
        <w:tc>
          <w:tcPr/>
          <w:p>
            <w:pPr>
              <w:pStyle w:val="Compact"/>
              <w:jc w:val="left"/>
            </w:pPr>
            <w:r>
              <w:t xml:space="preserve">4: Upstream Transportation and Distribution</w:t>
            </w:r>
          </w:p>
        </w:tc>
        <w:tc>
          <w:tcPr/>
          <w:p>
            <w:pPr>
              <w:pStyle w:val="Compact"/>
              <w:jc w:val="left"/>
            </w:pPr>
            <w:r>
              <w:t xml:space="preserve">1.0 kg * 1000 km (Road, raw materials)</w:t>
            </w:r>
          </w:p>
        </w:tc>
        <w:tc>
          <w:tcPr/>
          <w:p>
            <w:pPr>
              <w:pStyle w:val="Compact"/>
              <w:jc w:val="left"/>
            </w:pPr>
            <w:r>
              <w:t xml:space="preserve">0.08 kgCO2e/tonne-km</w:t>
            </w:r>
          </w:p>
        </w:tc>
        <w:tc>
          <w:tcPr/>
          <w:p>
            <w:pPr>
              <w:pStyle w:val="Compact"/>
              <w:jc w:val="left"/>
            </w:pPr>
            <w:r>
              <w:t xml:space="preserve">0.08</w:t>
            </w:r>
          </w:p>
        </w:tc>
      </w:tr>
      <w:tr>
        <w:tc>
          <w:tcPr>
            <w:gridSpan w:val="1"/>
            <w:vMerge w:val="continue"/>
          </w:tcPr>
          <w:p>
            <w:pPr/>
          </w:p>
        </w:tc>
        <w:tc>
          <w:tcPr/>
          <w:p>
            <w:pPr>
              <w:pStyle w:val="Compact"/>
            </w:pPr>
          </w:p>
        </w:tc>
        <w:tc>
          <w:tcPr/>
          <w:p>
            <w:pPr>
              <w:pStyle w:val="Compact"/>
              <w:jc w:val="left"/>
            </w:pPr>
            <w:r>
              <w:t xml:space="preserve">0.6 kg * 15000 km (Sea, finished product)</w:t>
            </w:r>
          </w:p>
        </w:tc>
        <w:tc>
          <w:tcPr/>
          <w:p>
            <w:pPr>
              <w:pStyle w:val="Compact"/>
              <w:jc w:val="left"/>
            </w:pPr>
            <w:r>
              <w:t xml:space="preserve">0.016142 kgCO2e/tonne-km</w:t>
            </w:r>
          </w:p>
        </w:tc>
        <w:tc>
          <w:tcPr/>
          <w:p>
            <w:pPr>
              <w:pStyle w:val="Compact"/>
              <w:jc w:val="left"/>
            </w:pPr>
            <w:r>
              <w:t xml:space="preserve">0.15</w:t>
            </w:r>
          </w:p>
        </w:tc>
      </w:tr>
      <w:tr>
        <w:tc>
          <w:tcPr>
            <w:gridSpan w:val="1"/>
            <w:vMerge w:val="continue"/>
          </w:tcPr>
          <w:p>
            <w:pPr/>
          </w:p>
        </w:tc>
        <w:tc>
          <w:tcPr/>
          <w:p>
            <w:pPr>
              <w:pStyle w:val="Compact"/>
            </w:pPr>
          </w:p>
        </w:tc>
        <w:tc>
          <w:tcPr/>
          <w:p>
            <w:pPr>
              <w:pStyle w:val="Compact"/>
              <w:jc w:val="left"/>
            </w:pPr>
            <w:r>
              <w:t xml:space="preserve">0.6 kg * 200 km (Road, last-mile)</w:t>
            </w:r>
          </w:p>
        </w:tc>
        <w:tc>
          <w:tcPr/>
          <w:p>
            <w:pPr>
              <w:pStyle w:val="Compact"/>
              <w:jc w:val="left"/>
            </w:pPr>
            <w:r>
              <w:t xml:space="preserve">0.15 kgCO2e/tonne-km</w:t>
            </w:r>
          </w:p>
        </w:tc>
        <w:tc>
          <w:tcPr/>
          <w:p>
            <w:pPr>
              <w:pStyle w:val="Compact"/>
              <w:jc w:val="left"/>
            </w:pPr>
            <w:r>
              <w:t xml:space="preserve">0.02</w:t>
            </w:r>
          </w:p>
        </w:tc>
      </w:tr>
      <w:tr>
        <w:tc>
          <w:tcPr>
            <w:gridSpan w:val="1"/>
            <w:vMerge w:val="continue"/>
          </w:tcPr>
          <w:p>
            <w:pPr/>
          </w:p>
        </w:tc>
        <w:tc>
          <w:tcPr/>
          <w:p>
            <w:pPr>
              <w:pStyle w:val="Compact"/>
              <w:jc w:val="left"/>
            </w:pPr>
            <w:r>
              <w:t xml:space="preserve">11: Use of Sold Products</w:t>
            </w:r>
          </w:p>
        </w:tc>
        <w:tc>
          <w:tcPr/>
          <w:p>
            <w:pPr>
              <w:pStyle w:val="Compact"/>
              <w:jc w:val="left"/>
            </w:pPr>
            <w:r>
              <w:t xml:space="preserve">438 kWh over lifespan</w:t>
            </w:r>
          </w:p>
        </w:tc>
        <w:tc>
          <w:tcPr/>
          <w:p>
            <w:pPr>
              <w:pStyle w:val="Compact"/>
              <w:jc w:val="left"/>
            </w:pPr>
            <w:r>
              <w:t xml:space="preserve">0.25 kgCO2e/kWh (Europe Avg.)</w:t>
            </w:r>
          </w:p>
        </w:tc>
        <w:tc>
          <w:tcPr/>
          <w:p>
            <w:pPr>
              <w:pStyle w:val="Compact"/>
              <w:jc w:val="left"/>
            </w:pPr>
            <w:r>
              <w:t xml:space="preserve">109.50</w:t>
            </w:r>
          </w:p>
        </w:tc>
      </w:tr>
      <w:tr>
        <w:tc>
          <w:tcPr/>
          <w:p>
            <w:pPr>
              <w:pStyle w:val="Compact"/>
            </w:pPr>
          </w:p>
        </w:tc>
        <w:tc>
          <w:tcPr/>
          <w:p>
            <w:pPr>
              <w:pStyle w:val="Compact"/>
              <w:jc w:val="left"/>
            </w:pPr>
            <w:r>
              <w:t xml:space="preserve">12: End-of-Life Treatment of Sold Products</w:t>
            </w:r>
          </w:p>
        </w:tc>
        <w:tc>
          <w:tcPr/>
          <w:p>
            <w:pPr>
              <w:pStyle w:val="Compact"/>
              <w:jc w:val="left"/>
            </w:pPr>
            <w:r>
              <w:t xml:space="preserve">0.15 kg non-recycled (Incineration)</w:t>
            </w:r>
          </w:p>
        </w:tc>
        <w:tc>
          <w:tcPr/>
          <w:p>
            <w:pPr>
              <w:pStyle w:val="Compact"/>
              <w:jc w:val="left"/>
            </w:pPr>
            <w:r>
              <w:t xml:space="preserve">2.7625 kgCO2e/kg</w:t>
            </w:r>
          </w:p>
        </w:tc>
        <w:tc>
          <w:tcPr/>
          <w:p>
            <w:pPr>
              <w:pStyle w:val="Compact"/>
              <w:jc w:val="left"/>
            </w:pPr>
            <w:r>
              <w:t xml:space="preserve">0.41</w:t>
            </w:r>
          </w:p>
        </w:tc>
      </w:tr>
      <w:tr>
        <w:tc>
          <w:tcPr/>
          <w:p>
            <w:pPr>
              <w:pStyle w:val="Compact"/>
            </w:pPr>
          </w:p>
        </w:tc>
        <w:tc>
          <w:tcPr/>
          <w:p>
            <w:pPr>
              <w:pStyle w:val="Compact"/>
            </w:pPr>
          </w:p>
        </w:tc>
        <w:tc>
          <w:tcPr/>
          <w:p>
            <w:pPr>
              <w:pStyle w:val="Compact"/>
              <w:jc w:val="left"/>
            </w:pPr>
            <w:r>
              <w:t xml:space="preserve">0.35 kg recycled (Avoided Emissions)</w:t>
            </w:r>
          </w:p>
        </w:tc>
        <w:tc>
          <w:tcPr/>
          <w:p>
            <w:pPr>
              <w:pStyle w:val="Compact"/>
              <w:jc w:val="left"/>
            </w:pPr>
            <w:r>
              <w:t xml:space="preserve">(Calculated offset)</w:t>
            </w:r>
          </w:p>
        </w:tc>
        <w:tc>
          <w:tcPr/>
          <w:p>
            <w:pPr>
              <w:pStyle w:val="Compact"/>
              <w:jc w:val="left"/>
            </w:pPr>
            <w:r>
              <w:t xml:space="preserve">-1.40</w:t>
            </w:r>
          </w:p>
        </w:tc>
      </w:tr>
      <w:tr>
        <w:tc>
          <w:tcPr>
            <w:gridSpan w:val="4"/>
          </w:tcPr>
          <w:p>
            <w:pPr>
              <w:pStyle w:val="Compact"/>
              <w:jc w:val="left"/>
            </w:pPr>
            <w:r>
              <w:rPr>
                <w:bCs/>
                <w:b/>
              </w:rPr>
              <w:t xml:space="preserve">Subtotal Scope 3 Emissions</w:t>
            </w:r>
          </w:p>
        </w:tc>
        <w:tc>
          <w:tcPr/>
          <w:p>
            <w:pPr>
              <w:pStyle w:val="Compact"/>
              <w:jc w:val="left"/>
            </w:pPr>
            <w:r>
              <w:rPr>
                <w:bCs/>
                <w:b/>
              </w:rPr>
              <w:t xml:space="preserve">112.20</w:t>
            </w:r>
          </w:p>
        </w:tc>
      </w:tr>
      <w:tr>
        <w:tc>
          <w:tcPr>
            <w:gridSpan w:val="4"/>
          </w:tcPr>
          <w:p>
            <w:pPr>
              <w:pStyle w:val="Compact"/>
              <w:jc w:val="left"/>
            </w:pPr>
            <w:r>
              <w:rPr>
                <w:bCs/>
                <w:b/>
              </w:rPr>
              <w:t xml:space="preserve">Total Product Carbon Footprint (PCF)</w:t>
            </w:r>
          </w:p>
        </w:tc>
        <w:tc>
          <w:tcPr/>
          <w:p>
            <w:pPr>
              <w:pStyle w:val="Compact"/>
              <w:jc w:val="left"/>
            </w:pPr>
            <w:r>
              <w:rPr>
                <w:bCs/>
                <w:b/>
              </w:rPr>
              <w:t xml:space="preserve">115.30</w:t>
            </w:r>
          </w:p>
        </w:tc>
      </w:tr>
    </w:tbl>
    <w:p>
      <w:pPr>
        <w:pStyle w:val="BodyText"/>
      </w:pPr>
      <w:r>
        <w:rPr>
          <w:iCs/>
          <w:i/>
        </w:rPr>
        <w:t xml:space="preserve">Note: Totals may vary slightly due to rounding.</w:t>
      </w:r>
    </w:p>
    <w:bookmarkEnd w:id="30"/>
    <w:bookmarkStart w:id="31" w:name="Xdea0616c66b0eb86351b74a340378a6db120373"/>
    <w:p>
      <w:pPr>
        <w:pStyle w:val="Heading3"/>
      </w:pPr>
      <w:r>
        <w:t xml:space="preserve">GHG Protocol Adherence (2026 LSR Update &amp; Scope 3 Compliance)</w:t>
      </w:r>
    </w:p>
    <w:p>
      <w:pPr>
        <w:pStyle w:val="FirstParagraph"/>
      </w:pPr>
      <w:r>
        <w:t xml:space="preserve">This analysis categorizes emissions strictly according to the GHG Protocol. Scope 1 emissions are zero as no direct fuel combustion by hsqkguxrkp\'s operations within the defined factory gate boundary for this product is accounted for. Scope 2 emissions are attributed to the purchased electricity for manufacturing. Scope 3 covers the extensive value chain, from upstream material acquisition and transportation to downstream use and end-of-life treatment.</w:t>
      </w:r>
    </w:p>
    <w:p>
      <w:pPr>
        <w:pStyle w:val="BodyText"/>
      </w:pPr>
      <w:r>
        <w:t xml:space="preserve">The 2026 Land Sector and Removals (LSR) Standard is acknowledged. While this product PCF primarily focuses on industrial emissions, any future quantification of biogenic carbon fluxes related to materials (e.g., sustainable forestry for paper/cardboard) or explicit land-use change impacts within the supply chain would be integrated under this standard. For this report, the emission factors used for materials inherently account for their cradle-to-gate impact, which includes biogenic carbon where applicable.</w:t>
      </w:r>
    </w:p>
    <w:p>
      <w:pPr>
        <w:pStyle w:val="BodyText"/>
      </w:pPr>
      <w:r>
        <w:t xml:space="preserve">Scope 3 reporting coverage is robust, addressing major categories such as Purchased Goods and Services, Upstream and Downstream Transportation, Use of Sold Products, and End-of-Life Treatment. Based on the detailed breakdown, these categories represent the vast majority of the product\'s value chain emissions, ensuring at least 95% coverage in line with 2026 requirements for comprehensive Scope 3 reporting.</w:t>
      </w:r>
    </w:p>
    <w:p>
      <w:r>
        <w:pict>
          <v:rect style="width:0;height:1.5pt" o:hralign="center" o:hrstd="t" o:hr="t"/>
        </w:pict>
      </w:r>
    </w:p>
    <w:bookmarkEnd w:id="31"/>
    <w:bookmarkEnd w:id="32"/>
    <w:bookmarkStart w:id="37" w:name="review-report"/>
    <w:p>
      <w:pPr>
        <w:pStyle w:val="Heading2"/>
      </w:pPr>
      <w:r>
        <w:t xml:space="preserve">5. Review &amp; Report</w:t>
      </w:r>
    </w:p>
    <w:bookmarkStart w:id="33" w:name="key-findings-and-hotspots"/>
    <w:p>
      <w:pPr>
        <w:pStyle w:val="Heading3"/>
      </w:pPr>
      <w:r>
        <w:t xml:space="preserve">Key Findings and Hotspots:</w:t>
      </w:r>
    </w:p>
    <w:p>
      <w:pPr>
        <w:numPr>
          <w:ilvl w:val="0"/>
          <w:numId w:val="1011"/>
        </w:numPr>
        <w:pStyle w:val="Compact"/>
      </w:pPr>
      <w:r>
        <w:t xml:space="preserve">The</w:t>
      </w:r>
      <w:r>
        <w:t xml:space="preserve"> </w:t>
      </w:r>
      <w:r>
        <w:rPr>
          <w:bCs/>
          <w:b/>
        </w:rPr>
        <w:t xml:space="preserve">Use Phase (109.50 kgCO2e)</w:t>
      </w:r>
      <w:r>
        <w:t xml:space="preserve"> </w:t>
      </w:r>
      <w:r>
        <w:t xml:space="preserve">is the dominant contributor to the total PCF, accounting for approximately 95% of the total emissions. This highlights the critical importance of energy efficiency during the product\'s operational lifespan, especially considering the electricity mix in the region of use (Europe).</w:t>
      </w:r>
    </w:p>
    <w:p>
      <w:pPr>
        <w:numPr>
          <w:ilvl w:val="0"/>
          <w:numId w:val="1011"/>
        </w:numPr>
        <w:pStyle w:val="Compact"/>
      </w:pPr>
      <w:r>
        <w:rPr>
          <w:bCs/>
          <w:b/>
        </w:rPr>
        <w:t xml:space="preserve">Materials Acquisition (3.44 kgCO2e)</w:t>
      </w:r>
      <w:r>
        <w:t xml:space="preserve"> </w:t>
      </w:r>
      <w:r>
        <w:t xml:space="preserve">represents the second largest contributor after the Use Phase, comprising about 3% of the total footprint. Aluminium and ABS plastic are notable contributors within this category due to their energy-intensive production processes.</w:t>
      </w:r>
    </w:p>
    <w:p>
      <w:pPr>
        <w:numPr>
          <w:ilvl w:val="0"/>
          <w:numId w:val="1011"/>
        </w:numPr>
        <w:pStyle w:val="Compact"/>
      </w:pPr>
      <w:r>
        <w:rPr>
          <w:bCs/>
          <w:b/>
        </w:rPr>
        <w:t xml:space="preserve">Production Electricity (3.10 kgCO2e)</w:t>
      </w:r>
      <w:r>
        <w:t xml:space="preserve">, falling under Scope 2, is a significant factor. The 50% renewable energy usage helps mitigate this, but further decarbonization of the energy supply in the manufacturing country (China) would yield substantial benefits.</w:t>
      </w:r>
    </w:p>
    <w:p>
      <w:pPr>
        <w:numPr>
          <w:ilvl w:val="0"/>
          <w:numId w:val="1011"/>
        </w:numPr>
        <w:pStyle w:val="Compact"/>
      </w:pPr>
      <w:r>
        <w:rPr>
          <w:bCs/>
          <w:b/>
        </w:rPr>
        <w:t xml:space="preserve">Transportation (0.24 kgCO2e)</w:t>
      </w:r>
      <w:r>
        <w:t xml:space="preserve">, while a smaller portion of the overall PCF, demonstrates the impact of global supply chains. Sea freight is generally more efficient per tonne-km than road freight, but long distances contribute.</w:t>
      </w:r>
    </w:p>
    <w:p>
      <w:pPr>
        <w:numPr>
          <w:ilvl w:val="0"/>
          <w:numId w:val="1011"/>
        </w:numPr>
        <w:pStyle w:val="Compact"/>
      </w:pPr>
      <w:r>
        <w:t xml:space="preserve">The</w:t>
      </w:r>
      <w:r>
        <w:t xml:space="preserve"> </w:t>
      </w:r>
      <w:r>
        <w:rPr>
          <w:bCs/>
          <w:b/>
        </w:rPr>
        <w:t xml:space="preserve">End-of-Life (EoL) (-0.98 kgCO2e)</w:t>
      </w:r>
      <w:r>
        <w:t xml:space="preserve"> </w:t>
      </w:r>
      <w:r>
        <w:t xml:space="preserve">stage shows a net avoided emission, primarily due to the high recyclability percentage and the displacement of virgin material production. This underscores the positive impact of circular economy initiatives and take-back programs (oqywkzuoru).</w:t>
      </w:r>
    </w:p>
    <w:bookmarkEnd w:id="33"/>
    <w:bookmarkStart w:id="34" w:name="recommendations-for-reduction"/>
    <w:p>
      <w:pPr>
        <w:pStyle w:val="Heading3"/>
      </w:pPr>
      <w:r>
        <w:t xml:space="preserve">Recommendations for Reduction:</w:t>
      </w:r>
    </w:p>
    <w:p>
      <w:pPr>
        <w:numPr>
          <w:ilvl w:val="0"/>
          <w:numId w:val="1012"/>
        </w:numPr>
        <w:pStyle w:val="Compact"/>
      </w:pPr>
      <w:r>
        <w:rPr>
          <w:bCs/>
          <w:b/>
        </w:rPr>
        <w:t xml:space="preserve">Enhance Use Phase Efficiency:</w:t>
      </w:r>
      <w:r>
        <w:t xml:space="preserve"> </w:t>
      </w:r>
      <w:r>
        <w:t xml:space="preserve">Focus on designing for ultra-low power consumption and exploring smart energy management features to minimize operational energy draw. Educate consumers on energy-efficient usage.</w:t>
      </w:r>
    </w:p>
    <w:p>
      <w:pPr>
        <w:numPr>
          <w:ilvl w:val="0"/>
          <w:numId w:val="1012"/>
        </w:numPr>
        <w:pStyle w:val="Compact"/>
      </w:pPr>
      <w:r>
        <w:rPr>
          <w:bCs/>
          <w:b/>
        </w:rPr>
        <w:t xml:space="preserve">Decarbonize Production:</w:t>
      </w:r>
      <w:r>
        <w:t xml:space="preserve"> </w:t>
      </w:r>
      <w:r>
        <w:t xml:space="preserve">Invest further in renewable energy sources at manufacturing facilities or procure renewable energy credits to reduce Scope 2 emissions. Partner with suppliers committed to decarbonization.</w:t>
      </w:r>
    </w:p>
    <w:p>
      <w:pPr>
        <w:numPr>
          <w:ilvl w:val="0"/>
          <w:numId w:val="1012"/>
        </w:numPr>
        <w:pStyle w:val="Compact"/>
      </w:pPr>
      <w:r>
        <w:rPr>
          <w:bCs/>
          <w:b/>
        </w:rPr>
        <w:t xml:space="preserve">Sustainable Material Sourcing:</w:t>
      </w:r>
      <w:r>
        <w:t xml:space="preserve"> </w:t>
      </w:r>
      <w:r>
        <w:t xml:space="preserve">Investigate opportunities to use secondary (recycled) aluminium, plastics (e.g., rABS), and other components with lower embodied carbon, especially for high-impact materials.</w:t>
      </w:r>
    </w:p>
    <w:p>
      <w:pPr>
        <w:numPr>
          <w:ilvl w:val="0"/>
          <w:numId w:val="1012"/>
        </w:numPr>
        <w:pStyle w:val="Compact"/>
      </w:pPr>
      <w:r>
        <w:rPr>
          <w:bCs/>
          <w:b/>
        </w:rPr>
        <w:t xml:space="preserve">Optimize Logistics:</w:t>
      </w:r>
      <w:r>
        <w:t xml:space="preserve"> </w:t>
      </w:r>
      <w:r>
        <w:t xml:space="preserve">Continuously evaluate and optimize transport routes and modes for maximum efficiency and lowest emissions, potentially exploring localized production or regional distribution hubs where feasible.</w:t>
      </w:r>
    </w:p>
    <w:p>
      <w:pPr>
        <w:numPr>
          <w:ilvl w:val="0"/>
          <w:numId w:val="1012"/>
        </w:numPr>
        <w:pStyle w:val="Compact"/>
      </w:pPr>
      <w:r>
        <w:rPr>
          <w:bCs/>
          <w:b/>
        </w:rPr>
        <w:t xml:space="preserve">Strengthen Circularity:</w:t>
      </w:r>
      <w:r>
        <w:t xml:space="preserve"> </w:t>
      </w:r>
      <w:r>
        <w:t xml:space="preserve">Continue to promote and expand take-back and recycling programs to maximize material recovery and further enhance the avoided emissions at the end-of-life. Explore design for disassembly to facilitate recycling.</w:t>
      </w:r>
    </w:p>
    <w:bookmarkEnd w:id="34"/>
    <w:bookmarkStart w:id="36" w:name="reliability-assessment"/>
    <w:p>
      <w:pPr>
        <w:pStyle w:val="Heading3"/>
      </w:pPr>
      <w:r>
        <w:t xml:space="preserve">Reliability Assessment:</w:t>
      </w:r>
    </w:p>
    <w:p>
      <w:pPr>
        <w:pStyle w:val="FirstParagraph"/>
      </w:pPr>
      <w:r>
        <w:t xml:space="preserve">The reliability of this PCF analysis is generally high, leveraging provided specific operational data (energy usage, lifespan, recyclability) and a detailed BOM. Emission factors were sourced from widely recognized databases (Ecoinvent/DEFRA equivalents) or based on plausible, cited industry averages. Where specific emission factors were unavailable for complex components (e.g., PCB), conservative estimations were applied. The primary limitation is the reliance on generic average emission factors for certain materials and energy grids, which may not perfectly capture regional or supplier-specific variations. Continuous engagement with the supply chain for primary data will further improve accuracy.</w:t>
      </w:r>
    </w:p>
    <w:p>
      <w:pPr>
        <w:pStyle w:val="BodyText"/>
      </w:pPr>
      <w:r>
        <w:t xml:space="preserve">Confidential - Internal Use Only | Page</w:t>
      </w:r>
      <w:r>
        <w:t xml:space="preserve"> </w:t>
      </w:r>
      <w:bookmarkStart w:id="35" w:name="pageNumber"/>
      <w:bookmarkEnd w:id="35"/>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hyxywzufiz (Smart Home Device)</dc:title>
  <dc:creator/>
  <dc:description>High-detail Product Carbon Footprint (PCF) analysis report for hyxywzufiz, a Smart Home Device by hsqkguxrkp, conducted by Senior Sustainability Consultant tlyqpmliel, adhering to GHG Protocol standards.</dc:description>
  <dc:language>en</dc:language>
  <cp:keywords/>
  <dcterms:created xsi:type="dcterms:W3CDTF">2026-05-30T14:54:37Z</dcterms:created>
  <dcterms:modified xsi:type="dcterms:W3CDTF">2026-05-30T14:54:37Z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