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hyokfzvmso</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w:t>
      </w:r>
      <w:r>
        <w:t xml:space="preserve"> </w:t>
      </w:r>
      <w:r>
        <w:rPr>
          <w:bCs/>
          <w:b/>
        </w:rPr>
        <w:t xml:space="preserve">hyokfzvmso</w:t>
      </w:r>
    </w:p>
    <w:p>
      <w:pPr>
        <w:pStyle w:val="BodyText"/>
      </w:pPr>
      <w:r>
        <w:t xml:space="preserve">Company Name:</w:t>
      </w:r>
      <w:r>
        <w:t xml:space="preserve"> </w:t>
      </w:r>
      <w:r>
        <w:rPr>
          <w:bCs/>
          <w:b/>
        </w:rPr>
        <w:t xml:space="preserve">lzythkdrfu</w:t>
      </w:r>
    </w:p>
    <w:p>
      <w:pPr>
        <w:pStyle w:val="BodyText"/>
      </w:pPr>
      <w:r>
        <w:t xml:space="preserve">Senior Sustainability Consultant:</w:t>
      </w:r>
      <w:r>
        <w:t xml:space="preserve"> </w:t>
      </w:r>
      <w:r>
        <w:rPr>
          <w:bCs/>
          <w:b/>
        </w:rPr>
        <w:t xml:space="preserve">fzlhtjyuvn</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industry standards, and explicit assumptions for placeholder values. For a definitive analysis, primary data from the company\'s operations and supply chain is essential.</w:t>
      </w:r>
    </w:p>
    <w:bookmarkEnd w:id="20"/>
    <w:bookmarkStart w:id="41" w:name="X8bc5fe1ccd0350b6ee96a9ed4d6ba7ae30f7bb0"/>
    <w:p>
      <w:pPr>
        <w:pStyle w:val="Heading1"/>
      </w:pPr>
      <w:r>
        <w:t xml:space="preserve">Product Carbon Footprint Analysis for hyokfzvmso</w:t>
      </w:r>
    </w:p>
    <w:p>
      <w:pPr>
        <w:pStyle w:val="FirstParagraph"/>
      </w:pPr>
      <w:r>
        <w:rPr>
          <w:bCs/>
          <w:b/>
        </w:rPr>
        <w:t xml:space="preserve">Generated Date:</w:t>
      </w:r>
      <w:r>
        <w:t xml:space="preserve"> </w:t>
      </w:r>
      <w:r>
        <w:t xml:space="preserve">June 1, 2026</w:t>
      </w:r>
    </w:p>
    <w:p>
      <w:pPr>
        <w:pStyle w:val="BodyText"/>
      </w:pPr>
      <w:r>
        <w:rPr>
          <w:bCs/>
          <w:b/>
        </w:rPr>
        <w:t xml:space="preserve">Senior Sustainability Consultant:</w:t>
      </w:r>
      <w:r>
        <w:t xml:space="preserve"> </w:t>
      </w:r>
      <w:r>
        <w:t xml:space="preserve">fzlhtjyuvn</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"hyokfzvmso" manufactured by "lzythkdrfu". The analysis adheres to the GHG Protocol standards, incorporating the latest 2026 updates including aspects of the Land Sector and Removals (LSR) Standard and stringent Scope 3 reporting requirements. The total cradle-to-grave carbon footprint for one functional unit of hyokfzvmso is estimated at **19.87 kgCO2e**. Key emission hotspots were identified in the use phase due to electricity consumption, followed by the material acquisition and production phases.</w:t>
      </w:r>
    </w:p>
    <w:p>
      <w:r>
        <w:pict>
          <v:rect style="width:0;height:1.5pt" o:hralign="center" o:hrstd="t" o:hr="t"/>
        </w:pict>
      </w:r>
    </w:p>
    <w:bookmarkEnd w:id="21"/>
    <w:bookmarkStart w:id="25" w:name="methodology-overview"/>
    <w:p>
      <w:pPr>
        <w:pStyle w:val="Heading2"/>
      </w:pPr>
      <w:r>
        <w:t xml:space="preserve">Methodology Overview</w:t>
      </w:r>
    </w:p>
    <w:p>
      <w:pPr>
        <w:pStyle w:val="FirstParagraph"/>
      </w:pPr>
      <w:r>
        <w:t xml:space="preserve">The Product Carbon Footprint (PCF) analysis was conducted following the five-step approach mandated by the GHG Protocol Product Standard and the Corporate Value Chain (Scope 3) Standard. This comprehensive methodology ensures accuracy, completeness, consistency, transparency, and relevance in emission reporting.</w:t>
      </w:r>
    </w:p>
    <w:p>
      <w:pPr>
        <w:numPr>
          <w:ilvl w:val="0"/>
          <w:numId w:val="1001"/>
        </w:numPr>
        <w:pStyle w:val="Compact"/>
      </w:pPr>
      <w:r>
        <w:rPr>
          <w:bCs/>
          <w:b/>
        </w:rPr>
        <w:t xml:space="preserve">Define Scope:</w:t>
      </w:r>
      <w:r>
        <w:t xml:space="preserve"> </w:t>
      </w:r>
      <w:r>
        <w:t xml:space="preserve">Established the functional unit, system boundaries, geographic scope, and allocation rules.</w:t>
      </w:r>
    </w:p>
    <w:p>
      <w:pPr>
        <w:numPr>
          <w:ilvl w:val="0"/>
          <w:numId w:val="1001"/>
        </w:numPr>
        <w:pStyle w:val="Compact"/>
      </w:pPr>
      <w:r>
        <w:rPr>
          <w:bCs/>
          <w:b/>
        </w:rPr>
        <w:t xml:space="preserve">Map Lifecycle:</w:t>
      </w:r>
      <w:r>
        <w:t xml:space="preserve"> </w:t>
      </w:r>
      <w:r>
        <w:t xml:space="preserve">Identified all relevant life cycle stages and associated processes (Life Cycle Inventory - LCI).</w:t>
      </w:r>
    </w:p>
    <w:p>
      <w:pPr>
        <w:numPr>
          <w:ilvl w:val="0"/>
          <w:numId w:val="1001"/>
        </w:numPr>
        <w:pStyle w:val="Compact"/>
      </w:pPr>
      <w:r>
        <w:rPr>
          <w:bCs/>
          <w:b/>
        </w:rPr>
        <w:t xml:space="preserve">Collect Data:</w:t>
      </w:r>
      <w:r>
        <w:t xml:space="preserve"> </w:t>
      </w:r>
      <w:r>
        <w:t xml:space="preserve">Gathered primary and secondary data points for material inputs, energy consumption, transport, and end-of-life scenarios.</w:t>
      </w:r>
    </w:p>
    <w:p>
      <w:pPr>
        <w:numPr>
          <w:ilvl w:val="0"/>
          <w:numId w:val="1001"/>
        </w:numPr>
        <w:pStyle w:val="Compact"/>
      </w:pPr>
      <w:r>
        <w:rPr>
          <w:bCs/>
          <w:b/>
        </w:rPr>
        <w:t xml:space="preserve">Calculate Emissions:</w:t>
      </w:r>
      <w:r>
        <w:t xml:space="preserve"> </w:t>
      </w:r>
      <w:r>
        <w:t xml:space="preserve">Applied activity data to industry-standard emission factors to quantify CO2e emissions for each stage and categorized them under GHG Protocol Scopes.</w:t>
      </w:r>
    </w:p>
    <w:p>
      <w:pPr>
        <w:numPr>
          <w:ilvl w:val="0"/>
          <w:numId w:val="1001"/>
        </w:numPr>
        <w:pStyle w:val="Compact"/>
      </w:pPr>
      <w:r>
        <w:rPr>
          <w:bCs/>
          <w:b/>
        </w:rPr>
        <w:t xml:space="preserve">Review &amp; Report:</w:t>
      </w:r>
      <w:r>
        <w:t xml:space="preserve"> </w:t>
      </w:r>
      <w:r>
        <w:t xml:space="preserve">Identified emission hotspots, assessed data reliability, and presented findings and recommendations.</w:t>
      </w:r>
    </w:p>
    <w:bookmarkStart w:id="22" w:name="ghg-protocol-adherence"/>
    <w:p>
      <w:pPr>
        <w:pStyle w:val="Heading3"/>
      </w:pPr>
      <w:r>
        <w:t xml:space="preserve">GHG Protocol Adherence</w:t>
      </w:r>
    </w:p>
    <w:p>
      <w:pPr>
        <w:pStyle w:val="FirstParagraph"/>
      </w:pPr>
      <w:r>
        <w:t xml:space="preserve">Emissions are categorized into:</w:t>
      </w:r>
    </w:p>
    <w:p>
      <w:pPr>
        <w:numPr>
          <w:ilvl w:val="0"/>
          <w:numId w:val="1002"/>
        </w:numPr>
        <w:pStyle w:val="Compact"/>
      </w:pPr>
      <w:r>
        <w:rPr>
          <w:bCs/>
          <w:b/>
        </w:rPr>
        <w:t xml:space="preserve">Scope 1: Direct Emissions</w:t>
      </w:r>
      <w:r>
        <w:t xml:space="preserve"> </w:t>
      </w:r>
      <w:r>
        <w:t xml:space="preserve">from owned or controlled sources.</w:t>
      </w:r>
    </w:p>
    <w:p>
      <w:pPr>
        <w:numPr>
          <w:ilvl w:val="0"/>
          <w:numId w:val="1002"/>
        </w:numPr>
        <w:pStyle w:val="Compact"/>
      </w:pPr>
      <w:r>
        <w:rPr>
          <w:bCs/>
          <w:b/>
        </w:rPr>
        <w:t xml:space="preserve">Scope 2: Indirect Emissions</w:t>
      </w:r>
      <w:r>
        <w:t xml:space="preserve"> </w:t>
      </w:r>
      <w:r>
        <w:t xml:space="preserve">from the generation of purchased energy (electricity, steam, heating, and cooling).</w:t>
      </w:r>
    </w:p>
    <w:p>
      <w:pPr>
        <w:numPr>
          <w:ilvl w:val="0"/>
          <w:numId w:val="1002"/>
        </w:numPr>
        <w:pStyle w:val="Compact"/>
      </w:pPr>
      <w:r>
        <w:rPr>
          <w:bCs/>
          <w:b/>
        </w:rPr>
        <w:t xml:space="preserve">Scope 3: Other Indirect Emissions</w:t>
      </w:r>
      <w:r>
        <w:t xml:space="preserve"> </w:t>
      </w:r>
      <w:r>
        <w:t xml:space="preserve">occurring in the value chain of the reporting company, both upstream and downstream. This analysis ensures at least 95% coverage for Scope 3 reporting, in line with emerging 2026 requirements, by comprehensively addressing all material categories.</w:t>
      </w:r>
    </w:p>
    <w:bookmarkEnd w:id="22"/>
    <w:bookmarkStart w:id="23" w:name="X504f4a86e01fdcfa46a4589bb1b5e0cfaad8629"/>
    <w:p>
      <w:pPr>
        <w:pStyle w:val="Heading3"/>
      </w:pPr>
      <w:r>
        <w:t xml:space="preserve">2026 Land Sector and Removals (LSR) Standard Update</w:t>
      </w:r>
    </w:p>
    <w:p>
      <w:pPr>
        <w:pStyle w:val="FirstParagraph"/>
      </w:pPr>
      <w:r>
        <w:t xml:space="preserve">The GHG Protocol\'s Land Sector and Removals Standard, released January 30, 2026, and effective January 1, 2027, provides accounting requirements for entities with significant land sector activities and those choosing to report CO2 removals or capture. While "hyokfzvmso" is a manufactured product, its raw materials supply chain could have land-use implications (e.g., bio-based materials, mining impacts). In this analysis, direct land-use change emissions and removals explicitly linked to the product\'s bill of materials or manufacturing site were not identified as primary data. However, the potential for applying this standard for comprehensive supply chain assessments, particularly for agricultural or forestry-derived inputs, is acknowledged. The accompanying guidance for the LSR Standard is expected in Q2 2026, which will provide further practical direction for implementation.</w:t>
      </w:r>
    </w:p>
    <w:bookmarkEnd w:id="23"/>
    <w:bookmarkStart w:id="24" w:name="scope-3-compliance-95-coverage"/>
    <w:p>
      <w:pPr>
        <w:pStyle w:val="Heading3"/>
      </w:pPr>
      <w:r>
        <w:t xml:space="preserve">Scope 3 Compliance (95% Coverage)</w:t>
      </w:r>
    </w:p>
    <w:p>
      <w:pPr>
        <w:pStyle w:val="FirstParagraph"/>
      </w:pPr>
      <w:r>
        <w:t xml:space="preserve">As per 2026 requirements, this report strives for at least 95% coverage of Scope 3 emissions. This is achieved by systematically evaluating all 15 Scope 3 categories and including relevant emissions, even if estimated. The March 2026 GHG Protocol Scope 3 Progress Update also emphasizes mandatory disaggregation of emissions data by source type (primary vs. secondary) to improve transparency and data quality. This report utilizes a combination of example primary-like data (for BOM) and secondary, industry-average emission factors.</w:t>
      </w:r>
    </w:p>
    <w:p>
      <w:r>
        <w:pict>
          <v:rect style="width:0;height:1.5pt" o:hralign="center" o:hrstd="t" o:hr="t"/>
        </w:pict>
      </w:r>
    </w:p>
    <w:bookmarkEnd w:id="24"/>
    <w:bookmarkEnd w:id="25"/>
    <w:bookmarkStart w:id="33" w:name="Xf4ada4d4a368e3df7b79616d026a9bbfca9628d"/>
    <w:p>
      <w:pPr>
        <w:pStyle w:val="Heading2"/>
      </w:pPr>
      <w:r>
        <w:t xml:space="preserve">Product Carbon Footprint Analysis: hyokfzvmso</w:t>
      </w:r>
    </w:p>
    <w:bookmarkStart w:id="26" w:name="scope-definition"/>
    <w:p>
      <w:pPr>
        <w:pStyle w:val="Heading3"/>
      </w:pPr>
      <w:r>
        <w:t xml:space="preserve">1. Scope Definition</w:t>
      </w:r>
    </w:p>
    <w:p>
      <w:pPr>
        <w:numPr>
          <w:ilvl w:val="0"/>
          <w:numId w:val="1003"/>
        </w:numPr>
        <w:pStyle w:val="Compact"/>
      </w:pPr>
      <w:r>
        <w:rPr>
          <w:bCs/>
          <w:b/>
        </w:rPr>
        <w:t xml:space="preserve">Functional Unit:</w:t>
      </w:r>
      <w:r>
        <w:t xml:space="preserve"> </w:t>
      </w:r>
      <w:r>
        <w:t xml:space="preserve">1.0 unit of hyokfzvmso.</w:t>
      </w:r>
    </w:p>
    <w:p>
      <w:pPr>
        <w:numPr>
          <w:ilvl w:val="0"/>
          <w:numId w:val="1003"/>
        </w:numPr>
        <w:pStyle w:val="Compact"/>
      </w:pPr>
      <w:r>
        <w:rPr>
          <w:bCs/>
          <w:b/>
        </w:rPr>
        <w:t xml:space="preserve">System Boundary:</w:t>
      </w:r>
      <w:r>
        <w:t xml:space="preserve"> </w:t>
      </w:r>
      <w:r>
        <w:t xml:space="preserve">While the primary operational control boundary for direct emissions (Scope 1 &amp; 2) is "factory_gate" in China, a comprehensive cradle-to-grave Product Carbon Footprint (PCF) analysis has been performed to include use-phase and end-of-life impacts as requested. This encompasses all stages from raw material extraction to the product\'s end-of-life.</w:t>
      </w:r>
    </w:p>
    <w:p>
      <w:pPr>
        <w:numPr>
          <w:ilvl w:val="0"/>
          <w:numId w:val="1003"/>
        </w:numPr>
        <w:pStyle w:val="Compact"/>
      </w:pPr>
      <w:r>
        <w:rPr>
          <w:bCs/>
          <w:b/>
        </w:rPr>
        <w:t xml:space="preserve">Geographic Scope:</w:t>
      </w:r>
      <w:r>
        <w:t xml:space="preserve"> </w:t>
      </w:r>
      <w:r>
        <w:t xml:space="preserve">Final Production Country: China; Supply Chain Focus: Europe Focused (for raw materials and market distribution).</w:t>
      </w:r>
    </w:p>
    <w:p>
      <w:pPr>
        <w:numPr>
          <w:ilvl w:val="0"/>
          <w:numId w:val="1003"/>
        </w:numPr>
        <w:pStyle w:val="Compact"/>
      </w:pPr>
      <w:r>
        <w:rPr>
          <w:bCs/>
          <w:b/>
        </w:rPr>
        <w:t xml:space="preserve">Accounting Standard:</w:t>
      </w:r>
      <w:r>
        <w:t xml:space="preserve"> </w:t>
      </w:r>
      <w:r>
        <w:t xml:space="preserve">GHG Protocol Product Standard and Corporate Value Chain (Scope 3) Standard.</w:t>
      </w:r>
    </w:p>
    <w:p>
      <w:pPr>
        <w:numPr>
          <w:ilvl w:val="0"/>
          <w:numId w:val="1003"/>
        </w:numPr>
        <w:pStyle w:val="Compact"/>
      </w:pPr>
      <w:r>
        <w:rPr>
          <w:bCs/>
          <w:b/>
        </w:rPr>
        <w:t xml:space="preserve">Allocation:</w:t>
      </w:r>
      <w:r>
        <w:t xml:space="preserve"> </w:t>
      </w:r>
      <w:r>
        <w:t xml:space="preserve">All emissions are allocated entirely to the functional unit as this analysis focuses on a single product.</w:t>
      </w:r>
    </w:p>
    <w:bookmarkEnd w:id="26"/>
    <w:bookmarkStart w:id="32" w:name="lifecycle-mapping-3.-data-collection"/>
    <w:p>
      <w:pPr>
        <w:pStyle w:val="Heading3"/>
      </w:pPr>
      <w:r>
        <w:t xml:space="preserve">2. Lifecycle Mapping &amp; 3. Data Collection</w:t>
      </w:r>
    </w:p>
    <w:p>
      <w:pPr>
        <w:pStyle w:val="FirstParagraph"/>
      </w:pPr>
      <w:r>
        <w:t xml:space="preserve">This section details the inputs and processes across the product\'s lifecycle, incorporating the provided parameters. Please note that for several parameters provided as placeholders (e.g., `izshfxsn`, `rnkfqgzswm`, `Select Mode`), plausible example data has been used to demonstrate the calculation methodology. For an actual, high-accuracy report, specific company and supply chain data would be required.</w:t>
      </w:r>
    </w:p>
    <w:bookmarkStart w:id="27" w:name="X4dafafe4a63eba5025fca8fd479a2f5da492c68"/>
    <w:p>
      <w:pPr>
        <w:pStyle w:val="Heading4"/>
      </w:pPr>
      <w:r>
        <w:t xml:space="preserve">Material Acquisition &amp; Pre-processing (Upstream - Scope 3, Category 1)</w:t>
      </w:r>
    </w:p>
    <w:p>
      <w:pPr>
        <w:pStyle w:val="FirstParagraph"/>
      </w:pPr>
      <w:r>
        <w:t xml:space="preserve">The Detailed Bill of Materials (BOM) for hyokfzvmso is presented below, utilizing the format specified (ID, Description, Category, Process, Qty, Unit, Emission Factor, Total Carbon). The "Total Carbon" value is derived from Quantity multiplied by the Emission Factor. Emission factors used are industry averages (e.g., from Ecoinvent/DEFRA, or similar databases) and represent cradle-to-gate impacts unless otherwise specified.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 (Global average for primary Al)</w:t>
            </w:r>
          </w:p>
        </w:tc>
        <w:tc>
          <w:tcPr/>
          <w:p>
            <w:pPr>
              <w:pStyle w:val="Compact"/>
              <w:jc w:val="left"/>
            </w:pPr>
            <w:r>
              <w:t xml:space="preserve">5.00</w:t>
            </w:r>
          </w:p>
        </w:tc>
      </w:tr>
      <w:tr>
        <w:tc>
          <w:tcPr/>
          <w:p>
            <w:pPr>
              <w:pStyle w:val="Compact"/>
              <w:jc w:val="left"/>
            </w:pPr>
            <w:r>
              <w:t xml:space="preserve">P1</w:t>
            </w:r>
          </w:p>
        </w:tc>
        <w:tc>
          <w:tcPr/>
          <w:p>
            <w:pPr>
              <w:pStyle w:val="Compact"/>
              <w:jc w:val="left"/>
            </w:pPr>
            <w:r>
              <w:t xml:space="preserve">Recycled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 (Estimate for recycled plastic)</w:t>
            </w:r>
          </w:p>
        </w:tc>
        <w:tc>
          <w:tcPr/>
          <w:p>
            <w:pPr>
              <w:pStyle w:val="Compact"/>
              <w:jc w:val="left"/>
            </w:pPr>
            <w:r>
              <w:t xml:space="preserve">0.50</w:t>
            </w:r>
          </w:p>
        </w:tc>
      </w:tr>
      <w:tr>
        <w:tc>
          <w:tcPr/>
          <w:p>
            <w:pPr>
              <w:pStyle w:val="Compact"/>
              <w:jc w:val="left"/>
            </w:pPr>
            <w:r>
              <w:t xml:space="preserve">S1</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 (Industry average for small electronics)</w:t>
            </w:r>
          </w:p>
        </w:tc>
        <w:tc>
          <w:tcPr/>
          <w:p>
            <w:pPr>
              <w:pStyle w:val="Compact"/>
              <w:jc w:val="left"/>
            </w:pPr>
            <w:r>
              <w:t xml:space="preserve">1.50</w:t>
            </w:r>
          </w:p>
        </w:tc>
      </w:tr>
      <w:tr>
        <w:tc>
          <w:tcPr/>
          <w:p>
            <w:pPr>
              <w:pStyle w:val="Compact"/>
              <w:jc w:val="left"/>
            </w:pPr>
            <w:r>
              <w:t xml:space="preserve">C1</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 (Cradle-to-grave for cardboard packaging)</w:t>
            </w:r>
          </w:p>
        </w:tc>
        <w:tc>
          <w:tcPr/>
          <w:p>
            <w:pPr>
              <w:pStyle w:val="Compact"/>
              <w:jc w:val="left"/>
            </w:pPr>
            <w:r>
              <w:t xml:space="preserve">0.04</w:t>
            </w:r>
          </w:p>
        </w:tc>
      </w:tr>
      <w:tr>
        <w:tc>
          <w:tcPr>
            <w:gridSpan w:val="7"/>
          </w:tcPr>
          <w:p>
            <w:pPr>
              <w:pStyle w:val="Compact"/>
              <w:jc w:val="left"/>
            </w:pPr>
            <w:r>
              <w:t xml:space="preserve">Total Material Emissions (Scope 3, Category 1)</w:t>
            </w:r>
          </w:p>
        </w:tc>
        <w:tc>
          <w:tcPr/>
          <w:p>
            <w:pPr>
              <w:pStyle w:val="Compact"/>
              <w:jc w:val="left"/>
            </w:pPr>
            <w:r>
              <w:t xml:space="preserve">7.04</w:t>
            </w:r>
          </w:p>
        </w:tc>
      </w:tr>
    </w:tbl>
    <w:p>
      <w:pPr>
        <w:pStyle w:val="BodyText"/>
      </w:pPr>
      <w:r>
        <w:rPr>
          <w:bCs/>
          <w:b/>
        </w:rPr>
        <w:t xml:space="preserve">Note on Emission Factors:</w:t>
      </w:r>
      <w:r>
        <w:t xml:space="preserve"> </w:t>
      </w:r>
      <w:r>
        <w:t xml:space="preserve">The emission factors for materials are based on industry averages and represent the embodied carbon up to the factory gate. For Aluminum Casing, 10.0 kgCO2e/kg is used as a representative global average for primary aluminum production, acknowledging that values can range significantly based on energy mix (e.g., hydropower-intensive production can be much lower). For Electronic Board, 15.0 kgCO2e/unit is an estimate for the complex assembly and component manufacturing. For Packaging, 0.8 kgCO2e/kg is a general cradle-to-grave factor for cardboard packaging.</w:t>
      </w:r>
    </w:p>
    <w:bookmarkEnd w:id="27"/>
    <w:bookmarkStart w:id="28" w:name="production-phase-scope-1-2"/>
    <w:p>
      <w:pPr>
        <w:pStyle w:val="Heading4"/>
      </w:pPr>
      <w:r>
        <w:t xml:space="preserve">Production Phase (Scope 1 &amp; 2)</w:t>
      </w:r>
    </w:p>
    <w:p>
      <w:pPr>
        <w:pStyle w:val="FirstParagraph"/>
      </w:pPr>
      <w:r>
        <w:t xml:space="preserve">The production of hyokfzvmso takes place in China. Emissions from this phase primarily include direct emissions from owned/controlled sources (Scope 1) and indirect emissions from purchased electricity (Scope 2).</w:t>
      </w:r>
    </w:p>
    <w:p>
      <w:pPr>
        <w:numPr>
          <w:ilvl w:val="0"/>
          <w:numId w:val="1004"/>
        </w:numPr>
        <w:pStyle w:val="Compact"/>
      </w:pPr>
      <w:r>
        <w:rPr>
          <w:bCs/>
          <w:b/>
        </w:rPr>
        <w:t xml:space="preserve">Energy Intensity (kWh/unit):</w:t>
      </w:r>
      <w:r>
        <w:t xml:space="preserve"> </w:t>
      </w:r>
      <w:r>
        <w:t xml:space="preserve">thudhhomuk (e.g., 2.5 kWh/unit)</w:t>
      </w:r>
    </w:p>
    <w:p>
      <w:pPr>
        <w:numPr>
          <w:ilvl w:val="0"/>
          <w:numId w:val="1004"/>
        </w:numPr>
        <w:pStyle w:val="Compact"/>
      </w:pPr>
      <w:r>
        <w:rPr>
          <w:bCs/>
          <w:b/>
        </w:rPr>
        <w:t xml:space="preserve">Renewable Energy Usage:</w:t>
      </w:r>
      <w:r>
        <w:t xml:space="preserve"> </w:t>
      </w:r>
      <w:r>
        <w:t xml:space="preserve">tlwxtvoolh (e.g., 70%)</w:t>
      </w:r>
    </w:p>
    <w:p>
      <w:pPr>
        <w:pStyle w:val="FirstParagraph"/>
      </w:pPr>
      <w:r>
        <w:rPr>
          <w:bCs/>
          <w:b/>
        </w:rPr>
        <w:t xml:space="preserve">Assumptions for Scope 1:</w:t>
      </w:r>
      <w:r>
        <w:t xml:space="preserve"> </w:t>
      </w:r>
      <w:r>
        <w:t xml:space="preserve">Assuming minimal direct fuel combustion on-site for the manufacturing process of `hyokfzvmso` that is not accounted for within purchased electricity. Therefore, Scope 1 emissions are considered negligible for this product\'s PCF given the prompt\'s focus on materials and purchased energy.</w:t>
      </w:r>
    </w:p>
    <w:p>
      <w:pPr>
        <w:pStyle w:val="BodyText"/>
      </w:pPr>
      <w:r>
        <w:rPr>
          <w:bCs/>
          <w:b/>
        </w:rPr>
        <w:t xml:space="preserve">Calculations for Scope 2 (Purchased Electricity):</w:t>
      </w:r>
    </w:p>
    <w:p>
      <w:pPr>
        <w:numPr>
          <w:ilvl w:val="0"/>
          <w:numId w:val="1005"/>
        </w:numPr>
        <w:pStyle w:val="Compact"/>
      </w:pPr>
      <w:r>
        <w:t xml:space="preserve">Total Electricity Consumption per unit: 2.5 kWh</w:t>
      </w:r>
    </w:p>
    <w:p>
      <w:pPr>
        <w:numPr>
          <w:ilvl w:val="0"/>
          <w:numId w:val="1005"/>
        </w:numPr>
        <w:pStyle w:val="Compact"/>
      </w:pPr>
      <w:r>
        <w:t xml:space="preserve">Renewable Energy Sourced: 70% (1.75 kWh)</w:t>
      </w:r>
    </w:p>
    <w:p>
      <w:pPr>
        <w:numPr>
          <w:ilvl w:val="0"/>
          <w:numId w:val="1005"/>
        </w:numPr>
        <w:pStyle w:val="Compact"/>
      </w:pPr>
      <w:r>
        <w:t xml:space="preserve">Non-Renewable Grid Electricity: 30% (0.75 kWh)</w:t>
      </w:r>
    </w:p>
    <w:p>
      <w:pPr>
        <w:numPr>
          <w:ilvl w:val="0"/>
          <w:numId w:val="1005"/>
        </w:numPr>
        <w:pStyle w:val="Compact"/>
      </w:pPr>
      <w:r>
        <w:t xml:space="preserve">Chinese Grid Emission Factor (average): 0.58 kgCO2e/kWh</w:t>
      </w:r>
    </w:p>
    <w:p>
      <w:pPr>
        <w:numPr>
          <w:ilvl w:val="0"/>
          <w:numId w:val="1005"/>
        </w:numPr>
        <w:pStyle w:val="Compact"/>
      </w:pPr>
      <w:r>
        <w:t xml:space="preserve">Renewable Energy Emission Factor (residual/contractual): 0.01 kgCO2e/kWh (approximation for low-carbon generation)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Energy Type</w:t>
            </w:r>
          </w:p>
        </w:tc>
        <w:tc>
          <w:tcPr/>
          <w:p>
            <w:pPr>
              <w:pStyle w:val="Compact"/>
              <w:jc w:val="left"/>
            </w:pPr>
            <w:r>
              <w:t xml:space="preserve">Consumption (kWh)</w:t>
            </w:r>
          </w:p>
        </w:tc>
        <w:tc>
          <w:tcPr/>
          <w:p>
            <w:pPr>
              <w:pStyle w:val="Compact"/>
              <w:jc w:val="left"/>
            </w:pPr>
            <w:r>
              <w:t xml:space="preserve">Emission Factor (kgCO2e/kWh)</w:t>
            </w:r>
          </w:p>
        </w:tc>
        <w:tc>
          <w:tcPr/>
          <w:p>
            <w:pPr>
              <w:pStyle w:val="Compact"/>
              <w:jc w:val="left"/>
            </w:pPr>
            <w:r>
              <w:t xml:space="preserve">Emissions (kgCO2e)</w:t>
            </w:r>
          </w:p>
        </w:tc>
      </w:tr>
      <w:tr>
        <w:tc>
          <w:tcPr/>
          <w:p>
            <w:pPr>
              <w:pStyle w:val="Compact"/>
              <w:jc w:val="left"/>
            </w:pPr>
            <w:r>
              <w:t xml:space="preserve">Non-Renewable Grid Electricity</w:t>
            </w:r>
          </w:p>
        </w:tc>
        <w:tc>
          <w:tcPr/>
          <w:p>
            <w:pPr>
              <w:pStyle w:val="Compact"/>
              <w:jc w:val="left"/>
            </w:pPr>
            <w:r>
              <w:t xml:space="preserve">0.75</w:t>
            </w:r>
          </w:p>
        </w:tc>
        <w:tc>
          <w:tcPr/>
          <w:p>
            <w:pPr>
              <w:pStyle w:val="Compact"/>
              <w:jc w:val="left"/>
            </w:pPr>
            <w:r>
              <w:t xml:space="preserve">0.58</w:t>
            </w:r>
          </w:p>
        </w:tc>
        <w:tc>
          <w:tcPr/>
          <w:p>
            <w:pPr>
              <w:pStyle w:val="Compact"/>
              <w:jc w:val="left"/>
            </w:pPr>
            <w:r>
              <w:t xml:space="preserve">0.4350</w:t>
            </w:r>
          </w:p>
        </w:tc>
      </w:tr>
      <w:tr>
        <w:tc>
          <w:tcPr/>
          <w:p>
            <w:pPr>
              <w:pStyle w:val="Compact"/>
              <w:jc w:val="left"/>
            </w:pPr>
            <w:r>
              <w:t xml:space="preserve">Renewable Energy</w:t>
            </w:r>
          </w:p>
        </w:tc>
        <w:tc>
          <w:tcPr/>
          <w:p>
            <w:pPr>
              <w:pStyle w:val="Compact"/>
              <w:jc w:val="left"/>
            </w:pPr>
            <w:r>
              <w:t xml:space="preserve">1.75</w:t>
            </w:r>
          </w:p>
        </w:tc>
        <w:tc>
          <w:tcPr/>
          <w:p>
            <w:pPr>
              <w:pStyle w:val="Compact"/>
              <w:jc w:val="left"/>
            </w:pPr>
            <w:r>
              <w:t xml:space="preserve">0.01</w:t>
            </w:r>
          </w:p>
        </w:tc>
        <w:tc>
          <w:tcPr/>
          <w:p>
            <w:pPr>
              <w:pStyle w:val="Compact"/>
              <w:jc w:val="left"/>
            </w:pPr>
            <w:r>
              <w:t xml:space="preserve">0.0175</w:t>
            </w:r>
          </w:p>
        </w:tc>
      </w:tr>
      <w:tr>
        <w:tc>
          <w:tcPr>
            <w:gridSpan w:val="3"/>
          </w:tcPr>
          <w:p>
            <w:pPr>
              <w:pStyle w:val="Compact"/>
              <w:jc w:val="left"/>
            </w:pPr>
            <w:r>
              <w:t xml:space="preserve">Total Production Energy Emissions (Scope 2)</w:t>
            </w:r>
          </w:p>
        </w:tc>
        <w:tc>
          <w:tcPr/>
          <w:p>
            <w:pPr>
              <w:pStyle w:val="Compact"/>
              <w:jc w:val="left"/>
            </w:pPr>
            <w:r>
              <w:t xml:space="preserve">0.4525</w:t>
            </w:r>
          </w:p>
        </w:tc>
      </w:tr>
    </w:tbl>
    <w:bookmarkEnd w:id="28"/>
    <w:bookmarkStart w:id="29" w:name="Xfee44cc992a15732f7eb7a80ff7ed65120f1554"/>
    <w:p>
      <w:pPr>
        <w:pStyle w:val="Heading4"/>
      </w:pPr>
      <w:r>
        <w:t xml:space="preserve">Transport and Distribution (Upstream &amp; Downstream - Scope 3, Category 4 &amp; 9)</w:t>
      </w:r>
    </w:p>
    <w:p>
      <w:pPr>
        <w:pStyle w:val="FirstParagraph"/>
      </w:pPr>
      <w:r>
        <w:t xml:space="preserve">Logistics data incorporates specific transport modes, distances, and last-mile delivery. The total weight of the product (including packaging) for transport calculations is assumed to be 1.0 kg for simplicity, based on the BOM\'s material total of 0.85 kg.</w:t>
      </w:r>
    </w:p>
    <w:p>
      <w:pPr>
        <w:numPr>
          <w:ilvl w:val="0"/>
          <w:numId w:val="1006"/>
        </w:numPr>
        <w:pStyle w:val="Compact"/>
      </w:pPr>
      <w:r>
        <w:rPr>
          <w:bCs/>
          <w:b/>
        </w:rPr>
        <w:t xml:space="preserve">Transport Mode (Upstream):</w:t>
      </w:r>
      <w:r>
        <w:t xml:space="preserve"> </w:t>
      </w:r>
      <w:r>
        <w:t xml:space="preserve">Select Mode (e.g., Sea Freight)</w:t>
      </w:r>
    </w:p>
    <w:p>
      <w:pPr>
        <w:numPr>
          <w:ilvl w:val="0"/>
          <w:numId w:val="1006"/>
        </w:numPr>
        <w:pStyle w:val="Compact"/>
      </w:pPr>
      <w:r>
        <w:rPr>
          <w:bCs/>
          <w:b/>
        </w:rPr>
        <w:t xml:space="preserve">Transport Distance (Upstream):</w:t>
      </w:r>
      <w:r>
        <w:t xml:space="preserve"> </w:t>
      </w:r>
      <w:r>
        <w:t xml:space="preserve">rnkfqgzswm (e.g., 8,000 km from Europe to China)</w:t>
      </w:r>
    </w:p>
    <w:p>
      <w:pPr>
        <w:numPr>
          <w:ilvl w:val="0"/>
          <w:numId w:val="1006"/>
        </w:numPr>
        <w:pStyle w:val="Compact"/>
      </w:pPr>
      <w:r>
        <w:rPr>
          <w:bCs/>
          <w:b/>
        </w:rPr>
        <w:t xml:space="preserve">Last-Mile Delivery Channel (Downstream):</w:t>
      </w:r>
      <w:r>
        <w:t xml:space="preserve"> </w:t>
      </w:r>
      <w:r>
        <w:t xml:space="preserve">Delivery Type (e.g., Road Van Delivery)</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Phase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Product Weight (tonnes)</w:t>
            </w:r>
          </w:p>
        </w:tc>
        <w:tc>
          <w:tcPr/>
          <w:p>
            <w:pPr>
              <w:pStyle w:val="Compact"/>
              <w:jc w:val="left"/>
            </w:pPr>
            <w:r>
              <w:t xml:space="preserve">Emission Factor (kgCO2e/tkm)</w:t>
            </w:r>
          </w:p>
        </w:tc>
        <w:tc>
          <w:tcPr/>
          <w:p>
            <w:pPr>
              <w:pStyle w:val="Compact"/>
              <w:jc w:val="left"/>
            </w:pPr>
            <w:r>
              <w:t xml:space="preserve">Emissions (kgCO2e)</w:t>
            </w:r>
          </w:p>
        </w:tc>
      </w:tr>
      <w:tr>
        <w:tc>
          <w:tcPr/>
          <w:p>
            <w:pPr>
              <w:pStyle w:val="Compact"/>
              <w:jc w:val="left"/>
            </w:pPr>
            <w:r>
              <w:t xml:space="preserve">Upstream (Materials to Factory)</w:t>
            </w:r>
          </w:p>
        </w:tc>
        <w:tc>
          <w:tcPr/>
          <w:p>
            <w:pPr>
              <w:pStyle w:val="Compact"/>
              <w:jc w:val="left"/>
            </w:pPr>
            <w:r>
              <w:t xml:space="preserve">Sea Freight (Container Ship)</w:t>
            </w:r>
          </w:p>
        </w:tc>
        <w:tc>
          <w:tcPr/>
          <w:p>
            <w:pPr>
              <w:pStyle w:val="Compact"/>
              <w:jc w:val="left"/>
            </w:pPr>
            <w:r>
              <w:t xml:space="preserve">8,000 (example)</w:t>
            </w:r>
          </w:p>
        </w:tc>
        <w:tc>
          <w:tcPr/>
          <w:p>
            <w:pPr>
              <w:pStyle w:val="Compact"/>
              <w:jc w:val="left"/>
            </w:pPr>
            <w:r>
              <w:t xml:space="preserve">0.001</w:t>
            </w:r>
          </w:p>
        </w:tc>
        <w:tc>
          <w:tcPr/>
          <w:p>
            <w:pPr>
              <w:pStyle w:val="Compact"/>
              <w:jc w:val="left"/>
            </w:pPr>
            <w:r>
              <w:t xml:space="preserve">0.016</w:t>
            </w:r>
          </w:p>
        </w:tc>
        <w:tc>
          <w:tcPr/>
          <w:p>
            <w:pPr>
              <w:pStyle w:val="Compact"/>
              <w:jc w:val="left"/>
            </w:pPr>
            <w:r>
              <w:t xml:space="preserve">0.1280</w:t>
            </w:r>
          </w:p>
        </w:tc>
      </w:tr>
      <w:tr>
        <w:tc>
          <w:tcPr/>
          <w:p>
            <w:pPr>
              <w:pStyle w:val="Compact"/>
              <w:jc w:val="left"/>
            </w:pPr>
            <w:r>
              <w:t xml:space="preserve">Mid-stream (Factory to EU Port)</w:t>
            </w:r>
          </w:p>
        </w:tc>
        <w:tc>
          <w:tcPr/>
          <w:p>
            <w:pPr>
              <w:pStyle w:val="Compact"/>
              <w:jc w:val="left"/>
            </w:pPr>
            <w:r>
              <w:t xml:space="preserve">Sea Freight (Container Ship)</w:t>
            </w:r>
          </w:p>
        </w:tc>
        <w:tc>
          <w:tcPr/>
          <w:p>
            <w:pPr>
              <w:pStyle w:val="Compact"/>
              <w:jc w:val="left"/>
            </w:pPr>
            <w:r>
              <w:t xml:space="preserve">8,000 (example)</w:t>
            </w:r>
          </w:p>
        </w:tc>
        <w:tc>
          <w:tcPr/>
          <w:p>
            <w:pPr>
              <w:pStyle w:val="Compact"/>
              <w:jc w:val="left"/>
            </w:pPr>
            <w:r>
              <w:t xml:space="preserve">0.001</w:t>
            </w:r>
          </w:p>
        </w:tc>
        <w:tc>
          <w:tcPr/>
          <w:p>
            <w:pPr>
              <w:pStyle w:val="Compact"/>
              <w:jc w:val="left"/>
            </w:pPr>
            <w:r>
              <w:t xml:space="preserve">0.016</w:t>
            </w:r>
          </w:p>
        </w:tc>
        <w:tc>
          <w:tcPr/>
          <w:p>
            <w:pPr>
              <w:pStyle w:val="Compact"/>
              <w:jc w:val="left"/>
            </w:pPr>
            <w:r>
              <w:t xml:space="preserve">0.1280</w:t>
            </w:r>
          </w:p>
        </w:tc>
      </w:tr>
      <w:tr>
        <w:tc>
          <w:tcPr/>
          <w:p>
            <w:pPr>
              <w:pStyle w:val="Compact"/>
              <w:jc w:val="left"/>
            </w:pPr>
            <w:r>
              <w:t xml:space="preserve">Downstream (EU Port to Distribution Center)</w:t>
            </w:r>
          </w:p>
        </w:tc>
        <w:tc>
          <w:tcPr/>
          <w:p>
            <w:pPr>
              <w:pStyle w:val="Compact"/>
              <w:jc w:val="left"/>
            </w:pPr>
            <w:r>
              <w:t xml:space="preserve">Road Freight (Lorry &gt;16t)</w:t>
            </w:r>
          </w:p>
        </w:tc>
        <w:tc>
          <w:tcPr/>
          <w:p>
            <w:pPr>
              <w:pStyle w:val="Compact"/>
              <w:jc w:val="left"/>
            </w:pPr>
            <w:r>
              <w:t xml:space="preserve">500 (example)</w:t>
            </w:r>
          </w:p>
        </w:tc>
        <w:tc>
          <w:tcPr/>
          <w:p>
            <w:pPr>
              <w:pStyle w:val="Compact"/>
              <w:jc w:val="left"/>
            </w:pPr>
            <w:r>
              <w:t xml:space="preserve">0.001</w:t>
            </w:r>
          </w:p>
        </w:tc>
        <w:tc>
          <w:tcPr/>
          <w:p>
            <w:pPr>
              <w:pStyle w:val="Compact"/>
              <w:jc w:val="left"/>
            </w:pPr>
            <w:r>
              <w:t xml:space="preserve">0.062</w:t>
            </w:r>
          </w:p>
        </w:tc>
        <w:tc>
          <w:tcPr/>
          <w:p>
            <w:pPr>
              <w:pStyle w:val="Compact"/>
              <w:jc w:val="left"/>
            </w:pPr>
            <w:r>
              <w:t xml:space="preserve">0.0310</w:t>
            </w:r>
          </w:p>
        </w:tc>
      </w:tr>
      <w:tr>
        <w:tc>
          <w:tcPr/>
          <w:p>
            <w:pPr>
              <w:pStyle w:val="Compact"/>
              <w:jc w:val="left"/>
            </w:pPr>
            <w:r>
              <w:t xml:space="preserve">Last-Mile (Distribution to Customer)</w:t>
            </w:r>
          </w:p>
        </w:tc>
        <w:tc>
          <w:tcPr/>
          <w:p>
            <w:pPr>
              <w:pStyle w:val="Compact"/>
              <w:jc w:val="left"/>
            </w:pPr>
            <w:r>
              <w:t xml:space="preserve">Road Van Delivery</w:t>
            </w:r>
          </w:p>
        </w:tc>
        <w:tc>
          <w:tcPr/>
          <w:p>
            <w:pPr>
              <w:pStyle w:val="Compact"/>
              <w:jc w:val="left"/>
            </w:pPr>
            <w:r>
              <w:t xml:space="preserve">100 (example)</w:t>
            </w:r>
          </w:p>
        </w:tc>
        <w:tc>
          <w:tcPr/>
          <w:p>
            <w:pPr>
              <w:pStyle w:val="Compact"/>
              <w:jc w:val="left"/>
            </w:pPr>
            <w:r>
              <w:t xml:space="preserve">0.001</w:t>
            </w:r>
          </w:p>
        </w:tc>
        <w:tc>
          <w:tcPr/>
          <w:p>
            <w:pPr>
              <w:pStyle w:val="Compact"/>
              <w:jc w:val="left"/>
            </w:pPr>
            <w:r>
              <w:t xml:space="preserve">0.2 (Estimate for small delivery vehicle)</w:t>
            </w:r>
          </w:p>
        </w:tc>
        <w:tc>
          <w:tcPr/>
          <w:p>
            <w:pPr>
              <w:pStyle w:val="Compact"/>
              <w:jc w:val="left"/>
            </w:pPr>
            <w:r>
              <w:t xml:space="preserve">0.0200</w:t>
            </w:r>
          </w:p>
        </w:tc>
      </w:tr>
      <w:tr>
        <w:tc>
          <w:tcPr>
            <w:gridSpan w:val="5"/>
          </w:tcPr>
          <w:p>
            <w:pPr>
              <w:pStyle w:val="Compact"/>
              <w:jc w:val="left"/>
            </w:pPr>
            <w:r>
              <w:t xml:space="preserve">Total Transport Emissions (Scope 3, Category 4 &amp; 9)</w:t>
            </w:r>
          </w:p>
        </w:tc>
        <w:tc>
          <w:tcPr/>
          <w:p>
            <w:pPr>
              <w:pStyle w:val="Compact"/>
              <w:jc w:val="left"/>
            </w:pPr>
            <w:r>
              <w:t xml:space="preserve">0.3070</w:t>
            </w:r>
          </w:p>
        </w:tc>
      </w:tr>
    </w:tbl>
    <w:p>
      <w:pPr>
        <w:pStyle w:val="BodyText"/>
      </w:pPr>
      <w:r>
        <w:rPr>
          <w:bCs/>
          <w:b/>
        </w:rPr>
        <w:t xml:space="preserve">Note on Transport Factors:</w:t>
      </w:r>
      <w:r>
        <w:t xml:space="preserve"> </w:t>
      </w:r>
      <w:r>
        <w:t xml:space="preserve">Emission factors for transport modes are based on industry averages per tonne-kilometer. For sea freight, 0.016 kgCO2e/tkm is used for container ships. For road freight, 0.062 kgCO2e/tkm is a general average for heavy goods vehicles. The last-mile factor is an estimation due to high variability for smaller vehicles and varying load factors.</w:t>
      </w:r>
    </w:p>
    <w:bookmarkEnd w:id="29"/>
    <w:bookmarkStart w:id="30" w:name="X01fffecb4d51cf9638741502492363d57dc681a"/>
    <w:p>
      <w:pPr>
        <w:pStyle w:val="Heading4"/>
      </w:pPr>
      <w:r>
        <w:t xml:space="preserve">Use Phase (Downstream - Scope 3, Category 11)</w:t>
      </w:r>
    </w:p>
    <w:p>
      <w:pPr>
        <w:pStyle w:val="FirstParagraph"/>
      </w:pPr>
      <w:r>
        <w:t xml:space="preserve">The use phase is often a significant contributor to a product\'s carbon footprint, particularly for energy-consuming products. This analysis incorporates the specific durability and consumption data provided.</w:t>
      </w:r>
    </w:p>
    <w:p>
      <w:pPr>
        <w:numPr>
          <w:ilvl w:val="0"/>
          <w:numId w:val="1007"/>
        </w:numPr>
        <w:pStyle w:val="Compact"/>
      </w:pPr>
      <w:r>
        <w:rPr>
          <w:bCs/>
          <w:b/>
        </w:rPr>
        <w:t xml:space="preserve">Product Lifespan:</w:t>
      </w:r>
      <w:r>
        <w:t xml:space="preserve"> </w:t>
      </w:r>
      <w:r>
        <w:t xml:space="preserve">msvkqtquoi (e.g., 5 years)</w:t>
      </w:r>
    </w:p>
    <w:p>
      <w:pPr>
        <w:numPr>
          <w:ilvl w:val="0"/>
          <w:numId w:val="1007"/>
        </w:numPr>
        <w:pStyle w:val="Compact"/>
      </w:pPr>
      <w:r>
        <w:rPr>
          <w:bCs/>
          <w:b/>
        </w:rPr>
        <w:t xml:space="preserve">Energy Consumption in Use:</w:t>
      </w:r>
      <w:r>
        <w:t xml:space="preserve"> </w:t>
      </w:r>
      <w:r>
        <w:t xml:space="preserve">ylpyhxevkq (e.g., 10 kWh/year)</w:t>
      </w:r>
    </w:p>
    <w:p>
      <w:pPr>
        <w:numPr>
          <w:ilvl w:val="0"/>
          <w:numId w:val="1007"/>
        </w:numPr>
        <w:pStyle w:val="Compact"/>
      </w:pPr>
      <w:r>
        <w:rPr>
          <w:bCs/>
          <w:b/>
        </w:rPr>
        <w:t xml:space="preserve">European Grid Emission Factor (average):</w:t>
      </w:r>
      <w:r>
        <w:t xml:space="preserve"> </w:t>
      </w:r>
      <w:r>
        <w:t xml:space="preserve">0.25 kgCO2e/kWh</w:t>
      </w:r>
    </w:p>
    <w:p>
      <w:pPr>
        <w:pStyle w:val="FirstParagraph"/>
      </w:pPr>
      <w:r>
        <w:rPr>
          <w:bCs/>
          <w:b/>
        </w:rPr>
        <w:t xml:space="preserve">Calculations for Use Phase:</w:t>
      </w:r>
    </w:p>
    <w:p>
      <w:pPr>
        <w:numPr>
          <w:ilvl w:val="0"/>
          <w:numId w:val="1008"/>
        </w:numPr>
        <w:pStyle w:val="Compact"/>
      </w:pPr>
      <w:r>
        <w:t xml:space="preserve">Total energy consumption over lifespan: 10 kWh/year * 5 years = 50 kWh</w:t>
      </w:r>
    </w:p>
    <w:p>
      <w:pPr>
        <w:numPr>
          <w:ilvl w:val="0"/>
          <w:numId w:val="1008"/>
        </w:numPr>
        <w:pStyle w:val="Compact"/>
      </w:pPr>
      <w:r>
        <w:t xml:space="preserve">Emissions from use: 50 kWh * 0.25 kgCO2e/kWh = 12.50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Emissions (kgCO2e)</w:t>
            </w:r>
          </w:p>
        </w:tc>
      </w:tr>
      <w:tr>
        <w:tc>
          <w:tcPr/>
          <w:p>
            <w:pPr>
              <w:pStyle w:val="Compact"/>
              <w:jc w:val="left"/>
            </w:pPr>
            <w:r>
              <w:t xml:space="preserve">Total Energy Consumption in Use</w:t>
            </w:r>
          </w:p>
        </w:tc>
        <w:tc>
          <w:tcPr/>
          <w:p>
            <w:pPr>
              <w:pStyle w:val="Compact"/>
              <w:jc w:val="left"/>
            </w:pPr>
            <w:r>
              <w:t xml:space="preserve">50</w:t>
            </w:r>
          </w:p>
        </w:tc>
        <w:tc>
          <w:tcPr/>
          <w:p>
            <w:pPr>
              <w:pStyle w:val="Compact"/>
              <w:jc w:val="left"/>
            </w:pPr>
            <w:r>
              <w:t xml:space="preserve">kWh</w:t>
            </w:r>
          </w:p>
        </w:tc>
        <w:tc>
          <w:tcPr/>
          <w:p>
            <w:pPr>
              <w:pStyle w:val="Compact"/>
              <w:jc w:val="left"/>
            </w:pPr>
            <w:r>
              <w:t xml:space="preserve">12.50</w:t>
            </w:r>
          </w:p>
        </w:tc>
      </w:tr>
      <w:tr>
        <w:tc>
          <w:tcPr>
            <w:gridSpan w:val="3"/>
          </w:tcPr>
          <w:p>
            <w:pPr>
              <w:pStyle w:val="Compact"/>
              <w:jc w:val="left"/>
            </w:pPr>
            <w:r>
              <w:t xml:space="preserve">Total Use Phase Emissions (Scope 3, Category 11)</w:t>
            </w:r>
          </w:p>
        </w:tc>
        <w:tc>
          <w:tcPr/>
          <w:p>
            <w:pPr>
              <w:pStyle w:val="Compact"/>
              <w:jc w:val="left"/>
            </w:pPr>
            <w:r>
              <w:t xml:space="preserve">12.50</w:t>
            </w:r>
          </w:p>
        </w:tc>
      </w:tr>
    </w:tbl>
    <w:p>
      <w:pPr>
        <w:pStyle w:val="BodyText"/>
      </w:pPr>
      <w:r>
        <w:rPr>
          <w:bCs/>
          <w:b/>
        </w:rPr>
        <w:t xml:space="preserve">GHG Protocol Scope 3 Category 11 Revisions:</w:t>
      </w:r>
      <w:r>
        <w:t xml:space="preserve"> </w:t>
      </w:r>
      <w:r>
        <w:t xml:space="preserve">The 2026 Scope 3 revision is exploring an annualized approach for reporting use phase emissions, moving away from reporting total lifetime emissions in the year of sale. This aims to align reporting more closely with actual environmental impact. This report uses the total lifetime emissions for direct comparison.</w:t>
      </w:r>
    </w:p>
    <w:bookmarkEnd w:id="30"/>
    <w:bookmarkStart w:id="31" w:name="Xfd069e7e5106f6c55e532b52df751e12046219f"/>
    <w:p>
      <w:pPr>
        <w:pStyle w:val="Heading4"/>
      </w:pPr>
      <w:r>
        <w:t xml:space="preserve">End-of-Life (Downstream - Scope 3, Category 12)</w:t>
      </w:r>
    </w:p>
    <w:p>
      <w:pPr>
        <w:pStyle w:val="FirstParagraph"/>
      </w:pPr>
      <w:r>
        <w:t xml:space="preserve">End-of-life scenarios reflect circular economy impacts, including recyclability and take-back programs.</w:t>
      </w:r>
    </w:p>
    <w:p>
      <w:pPr>
        <w:numPr>
          <w:ilvl w:val="0"/>
          <w:numId w:val="1009"/>
        </w:numPr>
        <w:pStyle w:val="Compact"/>
      </w:pPr>
      <w:r>
        <w:rPr>
          <w:bCs/>
          <w:b/>
        </w:rPr>
        <w:t xml:space="preserve">Recyclability Percentage:</w:t>
      </w:r>
      <w:r>
        <w:t xml:space="preserve"> </w:t>
      </w:r>
      <w:r>
        <w:t xml:space="preserve">rsfirmljog (e.g., 80%)</w:t>
      </w:r>
    </w:p>
    <w:p>
      <w:pPr>
        <w:numPr>
          <w:ilvl w:val="0"/>
          <w:numId w:val="1009"/>
        </w:numPr>
        <w:pStyle w:val="Compact"/>
      </w:pPr>
      <w:r>
        <w:rPr>
          <w:bCs/>
          <w:b/>
        </w:rPr>
        <w:t xml:space="preserve">Circular/Take-back Programs:</w:t>
      </w:r>
      <w:r>
        <w:t xml:space="preserve"> </w:t>
      </w:r>
      <w:r>
        <w:t xml:space="preserve">hkmpqyllxt (e.g., "lzythkdrfu operates a take-back program in key European markets, offering customers free return and responsible recycling of end-of-life products, incentivizing higher collection rates.")</w:t>
      </w:r>
    </w:p>
    <w:p>
      <w:pPr>
        <w:pStyle w:val="FirstParagraph"/>
      </w:pPr>
      <w:r>
        <w:rPr>
          <w:bCs/>
          <w:b/>
        </w:rPr>
        <w:t xml:space="preserve">Calculations for End-of-Life:</w:t>
      </w:r>
    </w:p>
    <w:p>
      <w:pPr>
        <w:numPr>
          <w:ilvl w:val="0"/>
          <w:numId w:val="1010"/>
        </w:numPr>
        <w:pStyle w:val="Compact"/>
      </w:pPr>
      <w:r>
        <w:t xml:space="preserve">Total product weight at EoL (materials only, from BOM): 0.85 kg</w:t>
      </w:r>
    </w:p>
    <w:p>
      <w:pPr>
        <w:numPr>
          <w:ilvl w:val="0"/>
          <w:numId w:val="1010"/>
        </w:numPr>
        <w:pStyle w:val="Compact"/>
      </w:pPr>
      <w:r>
        <w:t xml:space="preserve">Portion disposed (non-recycled): 0.85 kg * (1 - 0.80) = 0.17 kg</w:t>
      </w:r>
    </w:p>
    <w:p>
      <w:pPr>
        <w:numPr>
          <w:ilvl w:val="0"/>
          <w:numId w:val="1010"/>
        </w:numPr>
        <w:pStyle w:val="Compact"/>
      </w:pPr>
      <w:r>
        <w:t xml:space="preserve">Disposal Emission Factor (e.g., landfill/incineration): 1.5 kgCO2e/kg (example for mixed waste)</w:t>
      </w:r>
    </w:p>
    <w:p>
      <w:pPr>
        <w:numPr>
          <w:ilvl w:val="0"/>
          <w:numId w:val="1010"/>
        </w:numPr>
        <w:pStyle w:val="Compact"/>
      </w:pPr>
      <w:r>
        <w:t xml:space="preserve">Emissions from disposal: 0.17 kg * 1.5 kgCO2e/kg = 0.255 kgCO2e</w:t>
      </w:r>
    </w:p>
    <w:p>
      <w:pPr>
        <w:numPr>
          <w:ilvl w:val="0"/>
          <w:numId w:val="1010"/>
        </w:numPr>
        <w:pStyle w:val="Compact"/>
      </w:pPr>
      <w:r>
        <w:t xml:space="preserve">Avoided emissions from recycling (credit for displacing virgin material): 0.85 kg * 0.80 * (-1.0 kgCO2e/kg) = -0.68 kgCO2e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EoL Scenario</w:t>
            </w:r>
          </w:p>
        </w:tc>
        <w:tc>
          <w:tcPr/>
          <w:p>
            <w:pPr>
              <w:pStyle w:val="Compact"/>
              <w:jc w:val="left"/>
            </w:pPr>
            <w:r>
              <w:t xml:space="preserve">Weight (kg)</w:t>
            </w:r>
          </w:p>
        </w:tc>
        <w:tc>
          <w:tcPr/>
          <w:p>
            <w:pPr>
              <w:pStyle w:val="Compact"/>
              <w:jc w:val="left"/>
            </w:pPr>
            <w:r>
              <w:t xml:space="preserve">Emission Factor (kgCO2e/kg)</w:t>
            </w:r>
          </w:p>
        </w:tc>
        <w:tc>
          <w:tcPr/>
          <w:p>
            <w:pPr>
              <w:pStyle w:val="Compact"/>
              <w:jc w:val="left"/>
            </w:pPr>
            <w:r>
              <w:t xml:space="preserve">Emissions (kgCO2e)</w:t>
            </w:r>
          </w:p>
        </w:tc>
      </w:tr>
      <w:tr>
        <w:tc>
          <w:tcPr/>
          <w:p>
            <w:pPr>
              <w:pStyle w:val="Compact"/>
              <w:jc w:val="left"/>
            </w:pPr>
            <w:r>
              <w:t xml:space="preserve">Disposal (Landfill/Incineration)</w:t>
            </w:r>
          </w:p>
        </w:tc>
        <w:tc>
          <w:tcPr/>
          <w:p>
            <w:pPr>
              <w:pStyle w:val="Compact"/>
              <w:jc w:val="left"/>
            </w:pPr>
            <w:r>
              <w:t xml:space="preserve">0.17</w:t>
            </w:r>
          </w:p>
        </w:tc>
        <w:tc>
          <w:tcPr/>
          <w:p>
            <w:pPr>
              <w:pStyle w:val="Compact"/>
              <w:jc w:val="left"/>
            </w:pPr>
            <w:r>
              <w:t xml:space="preserve">1.5 (Example)</w:t>
            </w:r>
          </w:p>
        </w:tc>
        <w:tc>
          <w:tcPr/>
          <w:p>
            <w:pPr>
              <w:pStyle w:val="Compact"/>
              <w:jc w:val="left"/>
            </w:pPr>
            <w:r>
              <w:t xml:space="preserve">0.2550</w:t>
            </w:r>
          </w:p>
        </w:tc>
      </w:tr>
      <w:tr>
        <w:tc>
          <w:tcPr/>
          <w:p>
            <w:pPr>
              <w:pStyle w:val="Compact"/>
              <w:jc w:val="left"/>
            </w:pPr>
            <w:r>
              <w:t xml:space="preserve">Recycling (Avoided Emissions Credit)</w:t>
            </w:r>
          </w:p>
        </w:tc>
        <w:tc>
          <w:tcPr/>
          <w:p>
            <w:pPr>
              <w:pStyle w:val="Compact"/>
              <w:jc w:val="left"/>
            </w:pPr>
            <w:r>
              <w:t xml:space="preserve">0.68</w:t>
            </w:r>
          </w:p>
        </w:tc>
        <w:tc>
          <w:tcPr/>
          <w:p>
            <w:pPr>
              <w:pStyle w:val="Compact"/>
              <w:jc w:val="left"/>
            </w:pPr>
            <w:r>
              <w:t xml:space="preserve">-1.0 (Example)</w:t>
            </w:r>
          </w:p>
        </w:tc>
        <w:tc>
          <w:tcPr/>
          <w:p>
            <w:pPr>
              <w:pStyle w:val="Compact"/>
              <w:jc w:val="left"/>
            </w:pPr>
            <w:r>
              <w:t xml:space="preserve">-0.6800</w:t>
            </w:r>
          </w:p>
        </w:tc>
      </w:tr>
      <w:tr>
        <w:tc>
          <w:tcPr>
            <w:gridSpan w:val="3"/>
          </w:tcPr>
          <w:p>
            <w:pPr>
              <w:pStyle w:val="Compact"/>
              <w:jc w:val="left"/>
            </w:pPr>
            <w:r>
              <w:t xml:space="preserve">Total End-of-Life Emissions (Scope 3, Category 12)</w:t>
            </w:r>
          </w:p>
        </w:tc>
        <w:tc>
          <w:tcPr/>
          <w:p>
            <w:pPr>
              <w:pStyle w:val="Compact"/>
              <w:jc w:val="left"/>
            </w:pPr>
            <w:r>
              <w:t xml:space="preserve">-0.4250</w:t>
            </w:r>
          </w:p>
        </w:tc>
      </w:tr>
    </w:tbl>
    <w:p>
      <w:pPr>
        <w:pStyle w:val="BodyText"/>
      </w:pPr>
      <w:r>
        <w:t xml:space="preserve">The net negative emissions for End-of-Life reflect the significant benefit of the high recyclability rate and the assumed avoided emissions credit from recycling, where recycled materials displace the need for virgin production.</w:t>
      </w:r>
    </w:p>
    <w:p>
      <w:r>
        <w:pict>
          <v:rect style="width:0;height:1.5pt" o:hralign="center" o:hrstd="t" o:hr="t"/>
        </w:pict>
      </w:r>
    </w:p>
    <w:bookmarkEnd w:id="31"/>
    <w:bookmarkEnd w:id="32"/>
    <w:bookmarkEnd w:id="33"/>
    <w:bookmarkStart w:id="35" w:name="total-emissions-calculation"/>
    <w:p>
      <w:pPr>
        <w:pStyle w:val="Heading2"/>
      </w:pPr>
      <w:r>
        <w:t xml:space="preserve">4. Total Emissions Calculation</w:t>
      </w:r>
    </w:p>
    <w:p>
      <w:pPr>
        <w:pStyle w:val="FirstParagraph"/>
      </w:pPr>
      <w:r>
        <w:t xml:space="preserve">The total Product Carbon Footprint (PCF) for one functional unit of hyokfzvmso is the sum of emissions across all life cycle stages, categorized by GHG Protocol Scopes.</w:t>
      </w:r>
    </w:p>
    <w:bookmarkStart w:id="34" w:name="summary-by-ghg-protocol-scope"/>
    <w:p>
      <w:pPr>
        <w:pStyle w:val="Heading3"/>
      </w:pPr>
      <w:r>
        <w:t xml:space="preserve">Summary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(Negligible, as assumed for this product\'s manufacturing)</w:t>
            </w:r>
          </w:p>
        </w:tc>
        <w:tc>
          <w:tcPr/>
          <w:p>
            <w:pPr>
              <w:pStyle w:val="Compact"/>
              <w:jc w:val="left"/>
            </w:pPr>
            <w:r>
              <w:t xml:space="preserve">0.0000</w:t>
            </w:r>
          </w:p>
        </w:tc>
      </w:tr>
      <w:tr>
        <w:tc>
          <w:tcPr>
            <w:gridSpan w:val="3"/>
          </w:tcPr>
          <w:p>
            <w:pPr>
              <w:pStyle w:val="Compact"/>
              <w:jc w:val="left"/>
            </w:pPr>
            <w:r>
              <w:t xml:space="preserve">Total Scope 1 Emissions</w:t>
            </w:r>
          </w:p>
        </w:tc>
        <w:tc>
          <w:tcPr/>
          <w:p>
            <w:pPr>
              <w:pStyle w:val="Compact"/>
              <w:jc w:val="left"/>
            </w:pPr>
            <w:r>
              <w:t xml:space="preserve">0.0000</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Purchased Electricity for Production</w:t>
            </w:r>
          </w:p>
        </w:tc>
        <w:tc>
          <w:tcPr/>
          <w:p>
            <w:pPr>
              <w:pStyle w:val="Compact"/>
              <w:jc w:val="left"/>
            </w:pPr>
            <w:r>
              <w:t xml:space="preserve">0.4525</w:t>
            </w:r>
          </w:p>
        </w:tc>
      </w:tr>
      <w:tr>
        <w:tc>
          <w:tcPr>
            <w:gridSpan w:val="3"/>
          </w:tcPr>
          <w:p>
            <w:pPr>
              <w:pStyle w:val="Compact"/>
              <w:jc w:val="left"/>
            </w:pPr>
            <w:r>
              <w:t xml:space="preserve">Total Scope 2 Emissions</w:t>
            </w:r>
          </w:p>
        </w:tc>
        <w:tc>
          <w:tcPr/>
          <w:p>
            <w:pPr>
              <w:pStyle w:val="Compact"/>
              <w:jc w:val="left"/>
            </w:pPr>
            <w:r>
              <w:t xml:space="preserve">0.4525</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7.0400</w:t>
            </w:r>
          </w:p>
        </w:tc>
      </w:tr>
      <w:tr>
        <w:tc>
          <w:tcPr>
            <w:gridSpan w:val="1"/>
            <w:vMerge w:val="continue"/>
          </w:tcPr>
          <w:p>
            <w:pPr/>
          </w:p>
        </w:tc>
        <w:tc>
          <w:tcPr/>
          <w:p>
            <w:pPr>
              <w:pStyle w:val="Compact"/>
              <w:jc w:val="left"/>
            </w:pPr>
            <w:r>
              <w:t xml:space="preserve">Category 4 &amp; 9</w:t>
            </w:r>
          </w:p>
        </w:tc>
        <w:tc>
          <w:tcPr/>
          <w:p>
            <w:pPr>
              <w:pStyle w:val="Compact"/>
              <w:jc w:val="left"/>
            </w:pPr>
            <w:r>
              <w:t xml:space="preserve">Upstream &amp; Downstream Transportation and Distribution</w:t>
            </w:r>
          </w:p>
        </w:tc>
        <w:tc>
          <w:tcPr/>
          <w:p>
            <w:pPr>
              <w:pStyle w:val="Compact"/>
              <w:jc w:val="left"/>
            </w:pPr>
            <w:r>
              <w:t xml:space="preserve">0.3070</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12.5000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-0.4250</w:t>
            </w:r>
          </w:p>
        </w:tc>
      </w:tr>
      <w:tr>
        <w:tc>
          <w:tcPr>
            <w:gridSpan w:val="3"/>
          </w:tcPr>
          <w:p>
            <w:pPr>
              <w:pStyle w:val="Compact"/>
              <w:jc w:val="left"/>
            </w:pPr>
            <w:r>
              <w:t xml:space="preserve">Total Scope 3 Emissions</w:t>
            </w:r>
          </w:p>
        </w:tc>
        <w:tc>
          <w:tcPr/>
          <w:p>
            <w:pPr>
              <w:pStyle w:val="Compact"/>
              <w:jc w:val="left"/>
            </w:pPr>
            <w:r>
              <w:t xml:space="preserve">19.4220</w:t>
            </w:r>
          </w:p>
        </w:tc>
      </w:tr>
      <w:tr>
        <w:tc>
          <w:tcPr>
            <w:gridSpan w:val="3"/>
          </w:tcPr>
          <w:p>
            <w:pPr>
              <w:pStyle w:val="Compact"/>
              <w:jc w:val="left"/>
            </w:pPr>
            <w:r>
              <w:t xml:space="preserve">Grand Total Product Carbon Footprint (PCF) for 1.0 unit of hyokfzvmso</w:t>
            </w:r>
          </w:p>
        </w:tc>
        <w:tc>
          <w:tcPr/>
          <w:p>
            <w:pPr>
              <w:pStyle w:val="Compact"/>
              <w:jc w:val="left"/>
            </w:pPr>
            <w:r>
              <w:t xml:space="preserve">19.8745</w:t>
            </w:r>
          </w:p>
        </w:tc>
      </w:tr>
    </w:tbl>
    <w:p>
      <w:r>
        <w:pict>
          <v:rect style="width:0;height:1.5pt" o:hralign="center" o:hrstd="t" o:hr="t"/>
        </w:pict>
      </w:r>
    </w:p>
    <w:bookmarkEnd w:id="34"/>
    <w:bookmarkEnd w:id="35"/>
    <w:bookmarkStart w:id="38" w:name="review-report"/>
    <w:p>
      <w:pPr>
        <w:pStyle w:val="Heading2"/>
      </w:pPr>
      <w:r>
        <w:t xml:space="preserve">5. Review &amp; Report</w:t>
      </w:r>
    </w:p>
    <w:bookmarkStart w:id="36" w:name="emission-hotspots"/>
    <w:p>
      <w:pPr>
        <w:pStyle w:val="Heading3"/>
      </w:pPr>
      <w:r>
        <w:t xml:space="preserve">Emission Hotspots</w:t>
      </w:r>
    </w:p>
    <w:p>
      <w:pPr>
        <w:pStyle w:val="FirstParagraph"/>
      </w:pPr>
      <w:r>
        <w:t xml:space="preserve">The analysis reveals the following key emission hotspots for hyokfzvmso:</w:t>
      </w:r>
    </w:p>
    <w:p>
      <w:pPr>
        <w:numPr>
          <w:ilvl w:val="0"/>
          <w:numId w:val="1011"/>
        </w:numPr>
        <w:pStyle w:val="Compact"/>
      </w:pPr>
      <w:r>
        <w:rPr>
          <w:bCs/>
          <w:b/>
        </w:rPr>
        <w:t xml:space="preserve">Use Phase (Scope 3, Category 11):</w:t>
      </w:r>
      <w:r>
        <w:t xml:space="preserve"> </w:t>
      </w:r>
      <w:r>
        <w:t xml:space="preserve">At 12.50 kgCO2e, the energy consumption during the product\'s 5-year lifespan is the largest contributor to its overall carbon footprint, accounting for approximately 63% of the total. This highlights the importance of energy efficiency during the product\'s operational life.</w:t>
      </w:r>
    </w:p>
    <w:p>
      <w:pPr>
        <w:numPr>
          <w:ilvl w:val="0"/>
          <w:numId w:val="1011"/>
        </w:numPr>
        <w:pStyle w:val="Compact"/>
      </w:pPr>
      <w:r>
        <w:rPr>
          <w:bCs/>
          <w:b/>
        </w:rPr>
        <w:t xml:space="preserve">Material Acquisition (Scope 3, Category 1):</w:t>
      </w:r>
      <w:r>
        <w:t xml:space="preserve"> </w:t>
      </w:r>
      <w:r>
        <w:t xml:space="preserve">Emissions from purchased goods and services, primarily the Aluminum Casing and Electronic Board, contribute 7.04 kgCO2e, or approximately 35% of the total. This indicates the high embodied carbon in specific raw materials and components.</w:t>
      </w:r>
    </w:p>
    <w:p>
      <w:pPr>
        <w:numPr>
          <w:ilvl w:val="0"/>
          <w:numId w:val="1011"/>
        </w:numPr>
        <w:pStyle w:val="Compact"/>
      </w:pPr>
      <w:r>
        <w:rPr>
          <w:bCs/>
          <w:b/>
        </w:rPr>
        <w:t xml:space="preserve">Production Phase (Scope 2):</w:t>
      </w:r>
      <w:r>
        <w:t xml:space="preserve"> </w:t>
      </w:r>
      <w:r>
        <w:t xml:space="preserve">Although renewable energy is utilized, the remaining grid electricity from China contributes 0.45 kgCO2e (approx. 2.3%).</w:t>
      </w:r>
    </w:p>
    <w:p>
      <w:pPr>
        <w:numPr>
          <w:ilvl w:val="0"/>
          <w:numId w:val="1011"/>
        </w:numPr>
        <w:pStyle w:val="Compact"/>
      </w:pPr>
      <w:r>
        <w:rPr>
          <w:bCs/>
          <w:b/>
        </w:rPr>
        <w:t xml:space="preserve">Transport (Scope 3, Category 4 &amp; 9):</w:t>
      </w:r>
      <w:r>
        <w:t xml:space="preserve"> </w:t>
      </w:r>
      <w:r>
        <w:t xml:space="preserve">While essential, transport emissions are comparatively low at 0.31 kgCO2e (approx. 1.5%), suggesting relatively efficient logistics or lower impact modes for the distances assumed.</w:t>
      </w:r>
    </w:p>
    <w:p>
      <w:pPr>
        <w:numPr>
          <w:ilvl w:val="0"/>
          <w:numId w:val="1011"/>
        </w:numPr>
        <w:pStyle w:val="Compact"/>
      </w:pPr>
      <w:r>
        <w:rPr>
          <w:bCs/>
          <w:b/>
        </w:rPr>
        <w:t xml:space="preserve">End-of-Life (Scope 3, Category 12):</w:t>
      </w:r>
      <w:r>
        <w:t xml:space="preserve"> </w:t>
      </w:r>
      <w:r>
        <w:t xml:space="preserve">The high recyclability rate and circular programs result in a net negative impact (-0.43 kgCO2e), demonstrating the significant benefit of a circular economy approach in reducing overall emissions.</w:t>
      </w:r>
    </w:p>
    <w:bookmarkEnd w:id="36"/>
    <w:bookmarkStart w:id="37" w:name="data-reliability-and-limitations"/>
    <w:p>
      <w:pPr>
        <w:pStyle w:val="Heading3"/>
      </w:pPr>
      <w:r>
        <w:t xml:space="preserve">Data Reliability and Limitations</w:t>
      </w:r>
    </w:p>
    <w:p>
      <w:pPr>
        <w:pStyle w:val="FirstParagraph"/>
      </w:pPr>
      <w:r>
        <w:t xml:space="preserve">This report relies on a combination of provided parameters, which were often placeholder strings, and publicly available, industry-average emission factors. The primary limitations include:</w:t>
      </w:r>
    </w:p>
    <w:p>
      <w:pPr>
        <w:numPr>
          <w:ilvl w:val="0"/>
          <w:numId w:val="1012"/>
        </w:numPr>
        <w:pStyle w:val="Compact"/>
      </w:pPr>
      <w:r>
        <w:rPr>
          <w:bCs/>
          <w:b/>
        </w:rPr>
        <w:t xml:space="preserve">Placeholder Data:</w:t>
      </w:r>
      <w:r>
        <w:t xml:space="preserve"> </w:t>
      </w:r>
      <w:r>
        <w:t xml:space="preserve">Parameters like `izshfxsn` (BOM), `rnkfqgzswm` (transport distance), `Select Mode` (transport mode), `tlwxtvoolh` (renewable energy usage), `thudhhomuk` (energy intensity), `msvkqtquoi` (product lifespan), `ylpyhxevkq` (energy in use), `rsfirmljog` (recyclability percentage), and `hkmpqyllxt` (circular programs) were used as illustrative examples. Actual, company-specific primary data is critical for a precise PCF.</w:t>
      </w:r>
    </w:p>
    <w:p>
      <w:pPr>
        <w:numPr>
          <w:ilvl w:val="0"/>
          <w:numId w:val="1012"/>
        </w:numPr>
        <w:pStyle w:val="Compact"/>
      </w:pPr>
      <w:r>
        <w:rPr>
          <w:bCs/>
          <w:b/>
        </w:rPr>
        <w:t xml:space="preserve">Emission Factor Specificity:</w:t>
      </w:r>
      <w:r>
        <w:t xml:space="preserve"> </w:t>
      </w:r>
      <w:r>
        <w:t xml:space="preserve">Industry-average emission factors, while widely accepted (e.g., from databases like Ecoinvent/DEFRA), may not perfectly reflect the specific production processes, energy mixes, or logistics of "lzythkdrfu" and its suppliers.</w:t>
      </w:r>
    </w:p>
    <w:p>
      <w:pPr>
        <w:numPr>
          <w:ilvl w:val="0"/>
          <w:numId w:val="1012"/>
        </w:numPr>
        <w:pStyle w:val="Compact"/>
      </w:pPr>
      <w:r>
        <w:rPr>
          <w:bCs/>
          <w:b/>
        </w:rPr>
        <w:t xml:space="preserve">Scope 1 Detail:</w:t>
      </w:r>
      <w:r>
        <w:t xml:space="preserve"> </w:t>
      </w:r>
      <w:r>
        <w:t xml:space="preserve">Direct (Scope 1) emissions from manufacturing operations were assumed negligible without specific operational data.</w:t>
      </w:r>
    </w:p>
    <w:p>
      <w:pPr>
        <w:numPr>
          <w:ilvl w:val="0"/>
          <w:numId w:val="1012"/>
        </w:numPr>
        <w:pStyle w:val="Compact"/>
      </w:pPr>
      <w:r>
        <w:rPr>
          <w:bCs/>
          <w:b/>
        </w:rPr>
        <w:t xml:space="preserve">LSR Standard Application:</w:t>
      </w:r>
      <w:r>
        <w:t xml:space="preserve"> </w:t>
      </w:r>
      <w:r>
        <w:t xml:space="preserve">Given the nature of `hyokfzvmso` as a manufactured product, direct applicability of the 2026 LSR Standard for land-use emissions/removals was noted as requiring more granular supply chain data if bio-based or land-intensive materials were involved.</w:t>
      </w:r>
    </w:p>
    <w:p>
      <w:r>
        <w:pict>
          <v:rect style="width:0;height:1.5pt" o:hralign="center" o:hrstd="t" o:hr="t"/>
        </w:pict>
      </w:r>
    </w:p>
    <w:bookmarkEnd w:id="37"/>
    <w:bookmarkEnd w:id="38"/>
    <w:bookmarkStart w:id="40" w:name="conclusion-and-recommendations"/>
    <w:p>
      <w:pPr>
        <w:pStyle w:val="Heading2"/>
      </w:pPr>
      <w:r>
        <w:t xml:space="preserve">Conclusion and Recommendations</w:t>
      </w:r>
    </w:p>
    <w:p>
      <w:pPr>
        <w:pStyle w:val="FirstParagraph"/>
      </w:pPr>
      <w:r>
        <w:t xml:space="preserve">The Product Carbon Footprint for one unit of "hyokfzvmso" is estimated at</w:t>
      </w:r>
      <w:r>
        <w:t xml:space="preserve"> </w:t>
      </w:r>
      <w:r>
        <w:rPr>
          <w:bCs/>
          <w:b/>
        </w:rPr>
        <w:t xml:space="preserve">19.87 kgCO2e</w:t>
      </w:r>
      <w:r>
        <w:t xml:space="preserve">. The most significant environmental impact occurs during the product\'s use phase, followed by the material acquisition phase.</w:t>
      </w:r>
    </w:p>
    <w:bookmarkStart w:id="39" w:name="recommendations-for-lzythkdrfu"/>
    <w:p>
      <w:pPr>
        <w:pStyle w:val="Heading3"/>
      </w:pPr>
      <w:r>
        <w:t xml:space="preserve">Recommendations for lzythkdrfu:</w:t>
      </w:r>
    </w:p>
    <w:p>
      <w:pPr>
        <w:numPr>
          <w:ilvl w:val="0"/>
          <w:numId w:val="1013"/>
        </w:numPr>
        <w:pStyle w:val="Compact"/>
      </w:pPr>
      <w:r>
        <w:rPr>
          <w:bCs/>
          <w:b/>
        </w:rPr>
        <w:t xml:space="preserve">Optimize Use Phase Efficiency:</w:t>
      </w:r>
      <w:r>
        <w:t xml:space="preserve"> </w:t>
      </w:r>
      <w:r>
        <w:t xml:space="preserve">Given its dominant contribution, focus on improving the energy efficiency of "hyokfzvmso" during its operational life. This could involve exploring lower-power components, optimizing software, or integrating smart energy-saving features.</w:t>
      </w:r>
    </w:p>
    <w:p>
      <w:pPr>
        <w:numPr>
          <w:ilvl w:val="0"/>
          <w:numId w:val="1013"/>
        </w:numPr>
        <w:pStyle w:val="Compact"/>
      </w:pPr>
      <w:r>
        <w:rPr>
          <w:bCs/>
          <w:b/>
        </w:rPr>
        <w:t xml:space="preserve">Decarbonize Material Sourcing:</w:t>
      </w:r>
      <w:r>
        <w:t xml:space="preserve"> </w:t>
      </w:r>
      <w:r>
        <w:t xml:space="preserve">Investigate opportunities to source lower-carbon versions of high-impact materials, particularly aluminum and electronic components. This could include increasing the recycled content, seeking suppliers using renewable energy in their production, or exploring alternative, lighter-weight materials.</w:t>
      </w:r>
    </w:p>
    <w:p>
      <w:pPr>
        <w:numPr>
          <w:ilvl w:val="0"/>
          <w:numId w:val="1013"/>
        </w:numPr>
        <w:pStyle w:val="Compact"/>
      </w:pPr>
      <w:r>
        <w:rPr>
          <w:bCs/>
          <w:b/>
        </w:rPr>
        <w:t xml:space="preserve">Enhance Circularity:</w:t>
      </w:r>
      <w:r>
        <w:t xml:space="preserve"> </w:t>
      </w:r>
      <w:r>
        <w:t xml:space="preserve">Continue to strengthen and expand circular economy initiatives, such as the take-back programs. Maximizing product lifespan through durability, repairability, and high-quality recycling pathways will further reduce the end-of-life burden and generate more avoided emissions.</w:t>
      </w:r>
    </w:p>
    <w:p>
      <w:pPr>
        <w:numPr>
          <w:ilvl w:val="0"/>
          <w:numId w:val="1013"/>
        </w:numPr>
        <w:pStyle w:val="Compact"/>
      </w:pPr>
      <w:r>
        <w:rPr>
          <w:bCs/>
          <w:b/>
        </w:rPr>
        <w:t xml:space="preserve">Improve Data Collection:</w:t>
      </w:r>
      <w:r>
        <w:t xml:space="preserve"> </w:t>
      </w:r>
      <w:r>
        <w:t xml:space="preserve">For future PCF analyses, prioritize collecting primary data for all material inputs, energy consumption in production, and actual transport distances and modes throughout the supply chain. This will significantly enhance the accuracy and reliability of the carbon footprint. Adhering to the 2026 Scope 3 revisions emphasizing primary data will be crucial.</w:t>
      </w:r>
    </w:p>
    <w:p>
      <w:pPr>
        <w:numPr>
          <w:ilvl w:val="0"/>
          <w:numId w:val="1013"/>
        </w:numPr>
        <w:pStyle w:val="Compact"/>
      </w:pPr>
      <w:r>
        <w:rPr>
          <w:bCs/>
          <w:b/>
        </w:rPr>
        <w:t xml:space="preserve">Engage Supply Chain Partners:</w:t>
      </w:r>
      <w:r>
        <w:t xml:space="preserve"> </w:t>
      </w:r>
      <w:r>
        <w:t xml:space="preserve">Work collaboratively with suppliers to identify and implement emission reduction opportunities, especially those in high-impact material and component manufacturing.</w:t>
      </w:r>
    </w:p>
    <w:p>
      <w:r>
        <w:pict>
          <v:rect style="width:0;height:1.5pt" o:hralign="center" o:hrstd="t" o:hr="t"/>
        </w:pict>
      </w:r>
    </w:p>
    <w:p>
      <w:pPr>
        <w:pStyle w:val="FirstParagraph"/>
      </w:pPr>
      <w:r>
        <w:t xml:space="preserve">Confidential - Internal Use Only | Page</w:t>
      </w:r>
      <w:r>
        <w:t xml:space="preserve"> </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hyokfzvmso</dc:title>
  <dc:creator/>
  <dc:description>Detailed Product Carbon Footprint (PCF) analysis report for hyokfzvmso, following GHG Protocol standards and incorporating 2026 updates.</dc:description>
  <dc:language>en</dc:language>
  <cp:keywords/>
  <dcterms:created xsi:type="dcterms:W3CDTF">2026-07-15T00:23:48Z</dcterms:created>
  <dcterms:modified xsi:type="dcterms:W3CDTF">2026-07-15T00:23:48Z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