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hxxzqopdxy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hxxzqopdxy</w:t>
      </w:r>
    </w:p>
    <w:p>
      <w:pPr>
        <w:pStyle w:val="BodyText"/>
      </w:pPr>
      <w:r>
        <w:t xml:space="preserve">Company: qhwzitstvy</w:t>
      </w:r>
    </w:p>
    <w:p>
      <w:pPr>
        <w:pStyle w:val="BodyText"/>
      </w:pPr>
      <w:r>
        <w:t xml:space="preserve">Senior Sustainability Consultant: owivdweykw</w:t>
      </w:r>
    </w:p>
    <w:p>
      <w:pPr>
        <w:pStyle w:val="BodyText"/>
      </w:pPr>
      <w:r>
        <w:t xml:space="preserve">Accounting Standard: GHG Protocol</w:t>
      </w:r>
    </w:p>
    <w:p>
      <w:pPr>
        <w:pStyle w:val="BodyText"/>
      </w:pPr>
      <w:r>
        <w:t xml:space="preserve">Disclaimer: This report is generated based on available data and industry standards, providing an estimate of the product\'s carbon footprint. Actual emissions may vary based on precise supplier data and real-world conditions.</w:t>
      </w:r>
    </w:p>
    <w:bookmarkEnd w:id="20"/>
    <w:p>
      <w:pPr>
        <w:pStyle w:val="BodyText"/>
      </w:pPr>
      <w:r>
        <w:t xml:space="preserve">Product Carbon Footprint Analysis for hxxzqopdxy</w:t>
      </w:r>
      <w:r>
        <w:br/>
      </w:r>
      <w:r>
        <w:t xml:space="preserve">Generated Date: June 3, 2026</w:t>
      </w:r>
    </w:p>
    <w:bookmarkStart w:id="21" w:name="executive-summary"/>
    <w:p>
      <w:pPr>
        <w:pStyle w:val="Heading1"/>
      </w:pPr>
      <w:r>
        <w:t xml:space="preserve">Executive Summary</w:t>
      </w:r>
    </w:p>
    <w:p>
      <w:pPr>
        <w:pStyle w:val="FirstParagraph"/>
      </w:pPr>
      <w:r>
        <w:t xml:space="preserve">This report presents a high-detail Product Carbon Footprint (PCF) analysis for “hxxzqopdxy” manufactured by qhwzitstvy, conducted by Senior Sustainability Consultant owivdweykw. The analysis adheres to the Greenhouse Gas (GHG) Protocol, encompassing Scope 1, Scope 2, and Scope 3 emissions across the product\'s lifecycle. Particular attention has been given to incorporating the 2026 Land Sector and Removals (LSR) Standard and ensuring at least 95% coverage for Scope 3 reporting, as per upcoming requirements. The total estimated Product Carbon Footprint for one functional unit of hxxzqopdxy is</w:t>
      </w:r>
      <w:r>
        <w:t xml:space="preserve"> </w:t>
      </w:r>
      <w:r>
        <w:rPr>
          <w:bCs/>
          <w:b/>
        </w:rPr>
        <w:t xml:space="preserve">20.515 kgCO2e</w:t>
      </w:r>
      <w:r>
        <w:t xml:space="preserve">, with the Use Phase being the most significant contributor.</w:t>
      </w:r>
    </w:p>
    <w:p>
      <w:r>
        <w:pict>
          <v:rect style="width:0;height:1.5pt" o:hralign="center" o:hrstd="t" o:hr="t"/>
        </w:pict>
      </w:r>
    </w:p>
    <w:bookmarkEnd w:id="21"/>
    <w:bookmarkStart w:id="25" w:name="methodology-and-scope-definition"/>
    <w:p>
      <w:pPr>
        <w:pStyle w:val="Heading1"/>
      </w:pPr>
      <w:r>
        <w:t xml:space="preserve">1. Methodology and Scope Definition</w:t>
      </w:r>
    </w:p>
    <w:p>
      <w:pPr>
        <w:pStyle w:val="FirstParagraph"/>
      </w:pPr>
      <w:r>
        <w:t xml:space="preserve">The Product Carbon Footprint (PCF) analysis for hxxzqopdxy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
    <w:p>
      <w:pPr>
        <w:pStyle w:val="Heading2"/>
      </w:pPr>
      <w:r>
        <w:t xml:space="preserve">1.1. Scope Definition</w:t>
      </w:r>
    </w:p>
    <w:p>
      <w:pPr>
        <w:numPr>
          <w:ilvl w:val="0"/>
          <w:numId w:val="1002"/>
        </w:numPr>
        <w:pStyle w:val="Compact"/>
      </w:pPr>
      <w:r>
        <w:rPr>
          <w:bCs/>
          <w:b/>
        </w:rPr>
        <w:t xml:space="preserve">Functional Unit:</w:t>
      </w:r>
      <w:r>
        <w:t xml:space="preserve"> </w:t>
      </w:r>
      <w:r>
        <w:t xml:space="preserve">1.0 unit of hxxzqopdxy.</w:t>
      </w:r>
    </w:p>
    <w:p>
      <w:pPr>
        <w:numPr>
          <w:ilvl w:val="0"/>
          <w:numId w:val="1002"/>
        </w:numPr>
        <w:pStyle w:val="Compact"/>
      </w:pPr>
      <w:r>
        <w:rPr>
          <w:bCs/>
          <w:b/>
        </w:rPr>
        <w:t xml:space="preserve">System Boundary:</w:t>
      </w:r>
      <w:r>
        <w:t xml:space="preserve"> </w:t>
      </w:r>
      <w:r>
        <w:t xml:space="preserve">Cradle-to-grave, with a primary focus on emissions up to the factory_gate for Scope 1 and 2, and extending to the full value chain (cradle-to-grave) for Scope 3.</w:t>
      </w:r>
    </w:p>
    <w:p>
      <w:pPr>
        <w:numPr>
          <w:ilvl w:val="0"/>
          <w:numId w:val="1002"/>
        </w:numPr>
        <w:pStyle w:val="Compact"/>
      </w:pPr>
      <w:r>
        <w:rPr>
          <w:bCs/>
          <w:b/>
        </w:rPr>
        <w:t xml:space="preserve">Geographic Scope:</w:t>
      </w:r>
      <w:r>
        <w:t xml:space="preserve"> </w:t>
      </w:r>
      <w:r>
        <w:t xml:space="preserve">Final Production Country: China. Supply Chain Focus: Europe Focused. Use Phase and End-of-Life are assumed to occur primarily within Europe.</w:t>
      </w:r>
    </w:p>
    <w:p>
      <w:pPr>
        <w:numPr>
          <w:ilvl w:val="0"/>
          <w:numId w:val="1002"/>
        </w:numPr>
        <w:pStyle w:val="Compact"/>
      </w:pPr>
      <w:r>
        <w:rPr>
          <w:bCs/>
          <w:b/>
        </w:rPr>
        <w:t xml:space="preserve">Accounting Standard:</w:t>
      </w:r>
      <w:r>
        <w:t xml:space="preserve"> </w:t>
      </w:r>
      <w:r>
        <w:t xml:space="preserve">The GHG Protocol Product Standard, complemented by the Corporate Standard for Scope categorization and the 2026 Land Sector and Removals (LSR) Standard.</w:t>
      </w:r>
    </w:p>
    <w:p>
      <w:pPr>
        <w:numPr>
          <w:ilvl w:val="0"/>
          <w:numId w:val="1002"/>
        </w:numPr>
        <w:pStyle w:val="Compact"/>
      </w:pPr>
      <w:r>
        <w:rPr>
          <w:bCs/>
          <w:b/>
        </w:rPr>
        <w:t xml:space="preserve">Allocation:</w:t>
      </w:r>
      <w:r>
        <w:t xml:space="preserve"> </w:t>
      </w:r>
      <w:r>
        <w:t xml:space="preserve">All emissions are allocated to the functional unit (1.0 unit of hxxzqopdxy). No co-product or by-product allocation was required for this specific product analysis.</w:t>
      </w:r>
    </w:p>
    <w:bookmarkEnd w:id="22"/>
    <w:bookmarkStart w:id="23" w:name="ghg-protocol-scopes"/>
    <w:p>
      <w:pPr>
        <w:pStyle w:val="Heading2"/>
      </w:pPr>
      <w:r>
        <w:t xml:space="preserve">1.2. GHG Protocol Scopes</w:t>
      </w:r>
    </w:p>
    <w:p>
      <w:pPr>
        <w:pStyle w:val="FirstParagraph"/>
      </w:pPr>
      <w:r>
        <w:t xml:space="preserve">Emissions are categorized according to the GHG Protocol:</w:t>
      </w:r>
    </w:p>
    <w:p>
      <w:pPr>
        <w:numPr>
          <w:ilvl w:val="0"/>
          <w:numId w:val="1003"/>
        </w:numPr>
        <w:pStyle w:val="Compact"/>
      </w:pPr>
      <w:r>
        <w:rPr>
          <w:bCs/>
          <w:b/>
        </w:rPr>
        <w:t xml:space="preserve">Scope 1: Direct GHG Emissions.</w:t>
      </w:r>
      <w:r>
        <w:t xml:space="preserve"> </w:t>
      </w:r>
      <w:r>
        <w:t xml:space="preserve">Emissions from sources owned or controlled by qhwzitstvy (e.g., direct fuel combustion in owned vehicles or facilities).</w:t>
      </w:r>
    </w:p>
    <w:p>
      <w:pPr>
        <w:numPr>
          <w:ilvl w:val="0"/>
          <w:numId w:val="1003"/>
        </w:numPr>
        <w:pStyle w:val="Compact"/>
      </w:pPr>
      <w:r>
        <w:rPr>
          <w:bCs/>
          <w:b/>
        </w:rPr>
        <w:t xml:space="preserve">Scope 2: Indirect GHG Emissions from Purchased Energy.</w:t>
      </w:r>
      <w:r>
        <w:t xml:space="preserve"> </w:t>
      </w:r>
      <w:r>
        <w:t xml:space="preserve">Emissions from the generation of purchased electricity, heat, or steam consumed by qhwzitstvy.</w:t>
      </w:r>
    </w:p>
    <w:p>
      <w:pPr>
        <w:numPr>
          <w:ilvl w:val="0"/>
          <w:numId w:val="1003"/>
        </w:numPr>
        <w:pStyle w:val="Compact"/>
      </w:pPr>
      <w:r>
        <w:rPr>
          <w:bCs/>
          <w:b/>
        </w:rPr>
        <w:t xml:space="preserve">Scope 3: Other Indirect GHG Emissions.</w:t>
      </w:r>
      <w:r>
        <w:t xml:space="preserve"> </w:t>
      </w:r>
      <w:r>
        <w:t xml:space="preserve">All other indirect emissions that occur in the value chain of qhwzitstvy, both upstream (e.g., purchased goods and services, transportation) and downstream (e.g., use of sold products, end-of-life treatment). These typically constitute the largest portion of a company\'s total carbon footprint. This analysis aims for at least 95% coverage for Scope 3 reporting as per 2026 requirements.</w:t>
      </w:r>
    </w:p>
    <w:bookmarkEnd w:id="23"/>
    <w:bookmarkStart w:id="24" w:name="X504f4a86e01fdcfa46a4589bb1b5e0cfaad8629"/>
    <w:p>
      <w:pPr>
        <w:pStyle w:val="Heading2"/>
      </w:pPr>
      <w:r>
        <w:t xml:space="preserve">1.3. 2026 Land Sector and Removals (LSR) Standard Update</w:t>
      </w:r>
    </w:p>
    <w:p>
      <w:pPr>
        <w:pStyle w:val="FirstParagraph"/>
      </w:pPr>
      <w:r>
        <w:t xml:space="preserve">The GHG Protocol\'s Land Sector and Removals (LSR) Standard, released on January 30, 2026, and effective January 1, 2027, provides crucial accounting requirements and guidance for land-related emissions and CO2 removals. This standard is particularly relevant for entities with significant land sector activities (e.g., agriculture, food, fiber, fuel) or those reporting technological CO2 removals. While hxxzqopdxy itself may not directly involve extensive land-use change, the LSR Standard is considered for any bio-based materials in the supply chain (e.g., packaging cardboard) and for tracking potential carbon removals associated with sustainable sourcing. Companies are required to report direct and statistical land use change emissions for sourced agricultural products within Scope 3 categories.</w:t>
      </w:r>
    </w:p>
    <w:p>
      <w:r>
        <w:pict>
          <v:rect style="width:0;height:1.5pt" o:hralign="center" o:hrstd="t" o:hr="t"/>
        </w:pict>
      </w:r>
    </w:p>
    <w:bookmarkEnd w:id="24"/>
    <w:bookmarkEnd w:id="25"/>
    <w:bookmarkStart w:id="32" w:name="lifecycle-mapping-3.-data-collection"/>
    <w:p>
      <w:pPr>
        <w:pStyle w:val="Heading1"/>
      </w:pPr>
      <w:r>
        <w:t xml:space="preserve">2. Lifecycle Mapping &amp; 3. Data Collection</w:t>
      </w:r>
    </w:p>
    <w:p>
      <w:pPr>
        <w:pStyle w:val="FirstParagraph"/>
      </w:pPr>
      <w:r>
        <w:t xml:space="preserve">The lifecycle of hxxzqopdxy is mapped across several stages, for which data was collected or estimated based on provided parameters and industry averages. The primary production is in China, with a Europe-focused supply chain for materials and a European market for the product\'s use and end-of-life.</w:t>
      </w:r>
    </w:p>
    <w:bookmarkStart w:id="27" w:name="X7059ea95c6e8f1955792128c7ba52f4f5dc10fa"/>
    <w:p>
      <w:pPr>
        <w:pStyle w:val="Heading2"/>
      </w:pPr>
      <w:r>
        <w:t xml:space="preserve">2.1. Materials Acquisition and Processing (Upstream - Scope 3)</w:t>
      </w:r>
    </w:p>
    <w:p>
      <w:pPr>
        <w:pStyle w:val="FirstParagraph"/>
      </w:pPr>
      <w:r>
        <w:t xml:space="preserve">The Detailed Bill of Materials (BOM) for hxxzqopdxy (hterjpfq) has been utilized for a high-accuracy material impact calculation. The emissions for each material include extraction, processing, and manufacturing up to the point of delivery to qhwzitstvy\'s production facility in China. The "Emission Factor" and "Total Carbon" values provided in the BOM placeholder are directly used in the calculations below. For a real-world scenario, these factors would be sourced from databases like Ecoinvent or DEFRA.</w:t>
      </w:r>
    </w:p>
    <w:bookmarkStart w:id="26" w:name="X40cd7a51e71a5f7a5d5d1eca6daa6078aac9ea7"/>
    <w:p>
      <w:pPr>
        <w:pStyle w:val="Heading3"/>
      </w:pPr>
      <w:r>
        <w:t xml:space="preserve">Detailed Bill of Materials (BOM) - hxxzqopdxy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MAT-006</w:t>
            </w:r>
          </w:p>
        </w:tc>
        <w:tc>
          <w:tcPr/>
          <w:p>
            <w:pPr>
              <w:pStyle w:val="Compact"/>
              <w:jc w:val="left"/>
            </w:pPr>
            <w:r>
              <w:t xml:space="preserve">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gridSpan w:val="4"/>
          </w:tcPr>
          <w:p>
            <w:pPr>
              <w:pStyle w:val="Compact"/>
              <w:jc w:val="left"/>
            </w:pPr>
            <w:r>
              <w:t xml:space="preserve">Total Material Weight:</w:t>
            </w:r>
          </w:p>
        </w:tc>
        <w:tc>
          <w:tcPr/>
          <w:p>
            <w:pPr>
              <w:pStyle w:val="Compact"/>
              <w:jc w:val="left"/>
            </w:pPr>
            <w:r>
              <w:t xml:space="preserve">1.16 kg</w:t>
            </w:r>
          </w:p>
        </w:tc>
        <w:tc>
          <w:tcPr/>
          <w:p>
            <w:pPr>
              <w:pStyle w:val="Compact"/>
            </w:pPr>
          </w:p>
        </w:tc>
        <w:tc>
          <w:tcPr/>
          <w:p>
            <w:pPr>
              <w:pStyle w:val="Compact"/>
              <w:jc w:val="left"/>
            </w:pPr>
            <w:r>
              <w:t xml:space="preserve">Total Materials Carbon (Scope 3):</w:t>
            </w:r>
          </w:p>
        </w:tc>
        <w:tc>
          <w:tcPr/>
          <w:p>
            <w:pPr>
              <w:pStyle w:val="Compact"/>
              <w:jc w:val="left"/>
            </w:pPr>
            <w:r>
              <w:t xml:space="preserve">6.270 kgCO2e</w:t>
            </w:r>
          </w:p>
        </w:tc>
      </w:tr>
    </w:tbl>
    <w:bookmarkEnd w:id="26"/>
    <w:bookmarkEnd w:id="27"/>
    <w:bookmarkStart w:id="28" w:name="Xd755a064cf42f861d66f31279976ff0e51da168"/>
    <w:p>
      <w:pPr>
        <w:pStyle w:val="Heading2"/>
      </w:pPr>
      <w:r>
        <w:t xml:space="preserve">2.2. Manufacturing Energy (Core Operations - Scope 1 &amp; 2)</w:t>
      </w:r>
    </w:p>
    <w:p>
      <w:pPr>
        <w:pStyle w:val="FirstParagraph"/>
      </w:pPr>
      <w:r>
        <w:t xml:space="preserve">The energy consumption during the production phase in China is a critical component of the product\'s footprint. The provided energy customization data allows for a more accurate assessment.</w:t>
      </w:r>
    </w:p>
    <w:p>
      <w:pPr>
        <w:numPr>
          <w:ilvl w:val="0"/>
          <w:numId w:val="1004"/>
        </w:numPr>
        <w:pStyle w:val="Compact"/>
      </w:pPr>
      <w:r>
        <w:rPr>
          <w:bCs/>
          <w:b/>
        </w:rPr>
        <w:t xml:space="preserve">Energy Intensity (ntkkquxwpg):</w:t>
      </w:r>
      <w:r>
        <w:t xml:space="preserve"> </w:t>
      </w:r>
      <w:r>
        <w:t xml:space="preserve">1.5 kWh per unit.</w:t>
      </w:r>
    </w:p>
    <w:p>
      <w:pPr>
        <w:numPr>
          <w:ilvl w:val="0"/>
          <w:numId w:val="1004"/>
        </w:numPr>
        <w:pStyle w:val="Compact"/>
      </w:pPr>
      <w:r>
        <w:rPr>
          <w:bCs/>
          <w:b/>
        </w:rPr>
        <w:t xml:space="preserve">Renewable Energy Usage (nyovpwnrxp):</w:t>
      </w:r>
      <w:r>
        <w:t xml:space="preserve"> </w:t>
      </w:r>
      <w:r>
        <w:t xml:space="preserve">70% of the consumed energy is from renewable sources.</w:t>
      </w:r>
    </w:p>
    <w:p>
      <w:pPr>
        <w:numPr>
          <w:ilvl w:val="0"/>
          <w:numId w:val="1004"/>
        </w:numPr>
        <w:pStyle w:val="Compact"/>
      </w:pPr>
      <w:r>
        <w:rPr>
          <w:bCs/>
          <w:b/>
        </w:rPr>
        <w:t xml:space="preserve">Electricity Grid Emission Factor (China):</w:t>
      </w:r>
      <w:r>
        <w:t xml:space="preserve"> </w:t>
      </w:r>
      <w:r>
        <w:t xml:space="preserve">An average emission factor of 0.577 kgCO2e/kWh for the Chinese electricity grid is used.</w:t>
      </w:r>
    </w:p>
    <w:bookmarkEnd w:id="28"/>
    <w:bookmarkStart w:id="29" w:name="X11f5d096783fb9d2822b064c95541c3fbb06886"/>
    <w:p>
      <w:pPr>
        <w:pStyle w:val="Heading2"/>
      </w:pPr>
      <w:r>
        <w:t xml:space="preserve">2.3. Transportation (Upstream &amp; Downstream - Scope 3)</w:t>
      </w:r>
    </w:p>
    <w:p>
      <w:pPr>
        <w:pStyle w:val="FirstParagraph"/>
      </w:pPr>
      <w:r>
        <w:t xml:space="preserve">Logistics play a significant role in the overall carbon footprint, especially with a global supply chain. The analysis incorporates specific logistics data.</w:t>
      </w:r>
    </w:p>
    <w:p>
      <w:pPr>
        <w:numPr>
          <w:ilvl w:val="0"/>
          <w:numId w:val="1005"/>
        </w:numPr>
        <w:pStyle w:val="Compact"/>
      </w:pPr>
      <w:r>
        <w:rPr>
          <w:bCs/>
          <w:b/>
        </w:rPr>
        <w:t xml:space="preserve">Transport Mode (Select Mode):</w:t>
      </w:r>
      <w:r>
        <w:t xml:space="preserve"> </w:t>
      </w:r>
      <w:r>
        <w:t xml:space="preserve">For primary long-distance transport from the European focused supply chain to the China production facility, Ocean Freight is assumed. For inbound/outbound road transport to/from the factory and last-mile delivery, Road Freight is assumed.</w:t>
      </w:r>
    </w:p>
    <w:p>
      <w:pPr>
        <w:numPr>
          <w:ilvl w:val="0"/>
          <w:numId w:val="1005"/>
        </w:numPr>
        <w:pStyle w:val="Compact"/>
      </w:pPr>
      <w:r>
        <w:rPr>
          <w:bCs/>
          <w:b/>
        </w:rPr>
        <w:t xml:space="preserve">Transport Distance (dpemjumvjm):</w:t>
      </w:r>
      <w:r>
        <w:t xml:space="preserve"> </w:t>
      </w:r>
      <w:r>
        <w:t xml:space="preserve">An illustrative distance of 12,000 km for ocean freight (e.g., Europe to China) and 500 km for road freight (e.g., within Europe and within China) per functional unit is used.</w:t>
      </w:r>
    </w:p>
    <w:p>
      <w:pPr>
        <w:numPr>
          <w:ilvl w:val="0"/>
          <w:numId w:val="1005"/>
        </w:numPr>
        <w:pStyle w:val="Compact"/>
      </w:pPr>
      <w:r>
        <w:rPr>
          <w:bCs/>
          <w:b/>
        </w:rPr>
        <w:t xml:space="preserve">Last-Mile Delivery Channel (Delivery Type):</w:t>
      </w:r>
      <w:r>
        <w:t xml:space="preserve"> </w:t>
      </w:r>
      <w:r>
        <w:t xml:space="preserve">Parcel Service is assumed for last-mile delivery to the customer in Europe, with an illustrative distance of 100 km.</w:t>
      </w:r>
    </w:p>
    <w:p>
      <w:pPr>
        <w:pStyle w:val="FirstParagraph"/>
      </w:pPr>
      <w:r>
        <w:rPr>
          <w:bCs/>
          <w:b/>
        </w:rPr>
        <w:t xml:space="preserve">Illustrative Emission Factors for Transport:</w:t>
      </w:r>
    </w:p>
    <w:p>
      <w:pPr>
        <w:numPr>
          <w:ilvl w:val="0"/>
          <w:numId w:val="1006"/>
        </w:numPr>
        <w:pStyle w:val="Compact"/>
      </w:pPr>
      <w:r>
        <w:t xml:space="preserve">Ocean Freight: 0.016 kgCO2e per tonne-kilometer (tkm).</w:t>
      </w:r>
    </w:p>
    <w:p>
      <w:pPr>
        <w:numPr>
          <w:ilvl w:val="0"/>
          <w:numId w:val="1006"/>
        </w:numPr>
        <w:pStyle w:val="Compact"/>
      </w:pPr>
      <w:r>
        <w:t xml:space="preserve">Road Freight: 0.09 kgCO2e per tonne-kilometer (tkm), reflecting an average for general freight.</w:t>
      </w:r>
    </w:p>
    <w:bookmarkEnd w:id="29"/>
    <w:bookmarkStart w:id="30" w:name="use-phase-downstream---scope-3"/>
    <w:p>
      <w:pPr>
        <w:pStyle w:val="Heading2"/>
      </w:pPr>
      <w:r>
        <w:t xml:space="preserve">2.4. Use Phase (Downstream - Scope 3)</w:t>
      </w:r>
    </w:p>
    <w:p>
      <w:pPr>
        <w:pStyle w:val="FirstParagraph"/>
      </w:pPr>
      <w:r>
        <w:t xml:space="preserve">The energy consumed during the product\'s use by the customer contributes to its lifetime emissions. This calculation is expanded using the specific durability and consumption data.</w:t>
      </w:r>
    </w:p>
    <w:p>
      <w:pPr>
        <w:numPr>
          <w:ilvl w:val="0"/>
          <w:numId w:val="1007"/>
        </w:numPr>
        <w:pStyle w:val="Compact"/>
      </w:pPr>
      <w:r>
        <w:rPr>
          <w:bCs/>
          <w:b/>
        </w:rPr>
        <w:t xml:space="preserve">Product Lifespan (zvkwvpvilv):</w:t>
      </w:r>
      <w:r>
        <w:t xml:space="preserve"> </w:t>
      </w:r>
      <w:r>
        <w:t xml:space="preserve">5 years.</w:t>
      </w:r>
    </w:p>
    <w:p>
      <w:pPr>
        <w:numPr>
          <w:ilvl w:val="0"/>
          <w:numId w:val="1007"/>
        </w:numPr>
        <w:pStyle w:val="Compact"/>
      </w:pPr>
      <w:r>
        <w:rPr>
          <w:bCs/>
          <w:b/>
        </w:rPr>
        <w:t xml:space="preserve">Energy Consumption in Use (pgphmolpke):</w:t>
      </w:r>
      <w:r>
        <w:t xml:space="preserve"> </w:t>
      </w:r>
      <w:r>
        <w:t xml:space="preserve">10 kWh per year.</w:t>
      </w:r>
    </w:p>
    <w:p>
      <w:pPr>
        <w:numPr>
          <w:ilvl w:val="0"/>
          <w:numId w:val="1007"/>
        </w:numPr>
        <w:pStyle w:val="Compact"/>
      </w:pPr>
      <w:r>
        <w:rPr>
          <w:bCs/>
          <w:b/>
        </w:rPr>
        <w:t xml:space="preserve">Electricity Grid Emission Factor (Europe):</w:t>
      </w:r>
      <w:r>
        <w:t xml:space="preserve"> </w:t>
      </w:r>
      <w:r>
        <w:t xml:space="preserve">A generic average of 0.27 kgCO2e/kWh is used for electricity consumption in the European market.</w:t>
      </w:r>
    </w:p>
    <w:bookmarkEnd w:id="30"/>
    <w:bookmarkStart w:id="31" w:name="Xbd5ce2581a055ba0d05236edb0e67e8783fa2ac"/>
    <w:p>
      <w:pPr>
        <w:pStyle w:val="Heading2"/>
      </w:pPr>
      <w:r>
        <w:t xml:space="preserve">2.5. End-of-Life (EoL) Scenarios (Downstream - Scope 3)</w:t>
      </w:r>
    </w:p>
    <w:p>
      <w:pPr>
        <w:pStyle w:val="FirstParagraph"/>
      </w:pPr>
      <w:r>
        <w:t xml:space="preserve">The end-of-life stage incorporates circular economy impacts based on provided scenarios.</w:t>
      </w:r>
    </w:p>
    <w:p>
      <w:pPr>
        <w:numPr>
          <w:ilvl w:val="0"/>
          <w:numId w:val="1008"/>
        </w:numPr>
        <w:pStyle w:val="Compact"/>
      </w:pPr>
      <w:r>
        <w:rPr>
          <w:bCs/>
          <w:b/>
        </w:rPr>
        <w:t xml:space="preserve">Recyclability Percentage (oghrlelikl):</w:t>
      </w:r>
      <w:r>
        <w:t xml:space="preserve"> </w:t>
      </w:r>
      <w:r>
        <w:t xml:space="preserve">80%. This high percentage indicates a significant portion of the product\'s materials can be recovered and reused.</w:t>
      </w:r>
    </w:p>
    <w:p>
      <w:pPr>
        <w:numPr>
          <w:ilvl w:val="0"/>
          <w:numId w:val="1008"/>
        </w:numPr>
        <w:pStyle w:val="Compact"/>
      </w:pPr>
      <w:r>
        <w:rPr>
          <w:bCs/>
          <w:b/>
        </w:rPr>
        <w:t xml:space="preserve">Circular/Take-back Programs (ngsrdjkltf):</w:t>
      </w:r>
      <w:r>
        <w:t xml:space="preserve"> </w:t>
      </w:r>
      <w:r>
        <w:t xml:space="preserve">Yes. The existence of such programs helps facilitate material recovery and proper disposal.</w:t>
      </w:r>
    </w:p>
    <w:p>
      <w:r>
        <w:pict>
          <v:rect style="width:0;height:1.5pt" o:hralign="center" o:hrstd="t" o:hr="t"/>
        </w:pict>
      </w:r>
    </w:p>
    <w:bookmarkEnd w:id="31"/>
    <w:bookmarkEnd w:id="32"/>
    <w:bookmarkStart w:id="41" w:name="X439a6e6dcb43c636bf515ffaf3f59bce0bd6490"/>
    <w:p>
      <w:pPr>
        <w:pStyle w:val="Heading1"/>
      </w:pPr>
      <w:r>
        <w:t xml:space="preserve">4. Emission Calculation (Activity * Emission Factor = CO2e)</w:t>
      </w:r>
    </w:p>
    <w:p>
      <w:pPr>
        <w:pStyle w:val="FirstParagraph"/>
      </w:pPr>
      <w:r>
        <w:t xml:space="preserve">The emissions for each lifecycle stage are calculated and categorized into GHG Protocol Scopes. All calculations are illustrative, based on the provided placeholder values and industry-average emission factors.</w:t>
      </w:r>
    </w:p>
    <w:bookmarkStart w:id="33" w:name="scope-1-emissions-direct-emissions"/>
    <w:p>
      <w:pPr>
        <w:pStyle w:val="Heading2"/>
      </w:pPr>
      <w:r>
        <w:t xml:space="preserve">4.1. Scope 1 Emissions (Direct Emissions)</w:t>
      </w:r>
    </w:p>
    <w:p>
      <w:pPr>
        <w:pStyle w:val="FirstParagraph"/>
      </w:pPr>
      <w:r>
        <w:t xml:space="preserve">For the production of hxxzqopdxy, it is assumed that qhwzitstvy does not operate direct fossil fuel combustion sources on-site within the defined factory_gate boundary that are directly attributable to the production of each functional unit. Any such emissions would typically arise from company-owned vehicles or on-site combustion for heating/processes not covered by purchased energy. Therefore, Scope 1 emissions for this product are considered negligible in this analysis.</w:t>
      </w:r>
    </w:p>
    <w:p>
      <w:pPr>
        <w:pStyle w:val="BodyText"/>
      </w:pPr>
      <w:r>
        <w:rPr>
          <w:bCs/>
          <w:b/>
        </w:rPr>
        <w:t xml:space="preserve">Total Scope 1 Emissions: 0.000 kgCO2e</w:t>
      </w:r>
    </w:p>
    <w:bookmarkEnd w:id="33"/>
    <w:bookmarkStart w:id="34" w:name="X74867a7b2c16b8de440578aa3f6074c77be2239"/>
    <w:p>
      <w:pPr>
        <w:pStyle w:val="Heading2"/>
      </w:pPr>
      <w:r>
        <w:t xml:space="preserve">4.2. Scope 2 Emissions (Purchased Electricity for Manufacturing)</w:t>
      </w:r>
    </w:p>
    <w:p>
      <w:pPr>
        <w:pStyle w:val="FirstParagraph"/>
      </w:pPr>
      <w:r>
        <w:t xml:space="preserve">Emissions from purchased electricity for the manufacturing process in China are calculated considering the renewable energy usage:</w:t>
      </w:r>
    </w:p>
    <w:p>
      <w:pPr>
        <w:numPr>
          <w:ilvl w:val="0"/>
          <w:numId w:val="1009"/>
        </w:numPr>
        <w:pStyle w:val="Compact"/>
      </w:pPr>
      <w:r>
        <w:t xml:space="preserve">Total Electricity Consumed: 1.5 kWh/unit [cite: ntkkquxwpg]</w:t>
      </w:r>
    </w:p>
    <w:p>
      <w:pPr>
        <w:numPr>
          <w:ilvl w:val="0"/>
          <w:numId w:val="1009"/>
        </w:numPr>
        <w:pStyle w:val="Compact"/>
      </w:pPr>
      <w:r>
        <w:t xml:space="preserve">Renewable Energy Portion: 70% [cite: nyovpwnrxp] (assumed 0 kgCO2e/kWh)</w:t>
      </w:r>
    </w:p>
    <w:p>
      <w:pPr>
        <w:numPr>
          <w:ilvl w:val="0"/>
          <w:numId w:val="1009"/>
        </w:numPr>
        <w:pStyle w:val="Compact"/>
      </w:pPr>
      <w:r>
        <w:t xml:space="preserve">Grid Electricity Portion: 1.5 kWh * (1 - 0.70) = 0.45 kWh/unit</w:t>
      </w:r>
    </w:p>
    <w:p>
      <w:pPr>
        <w:numPr>
          <w:ilvl w:val="0"/>
          <w:numId w:val="1009"/>
        </w:numPr>
        <w:pStyle w:val="Compact"/>
      </w:pPr>
      <w:r>
        <w:t xml:space="preserve">China Grid Emission Factor: 0.577 kgCO2e/kWh</w:t>
      </w:r>
    </w:p>
    <w:p>
      <w:pPr>
        <w:numPr>
          <w:ilvl w:val="0"/>
          <w:numId w:val="1009"/>
        </w:numPr>
        <w:pStyle w:val="Compact"/>
      </w:pPr>
      <w:r>
        <w:t xml:space="preserve">Calculation: 0.45 kWh/unit * 0.577 kgCO2e/kWh = 0.25965 kgCO2e/unit</w:t>
      </w:r>
    </w:p>
    <w:p>
      <w:pPr>
        <w:pStyle w:val="FirstParagraph"/>
      </w:pPr>
      <w:r>
        <w:rPr>
          <w:bCs/>
          <w:b/>
        </w:rPr>
        <w:t xml:space="preserve">Total Scope 2 Emissions: 0.260 kgCO2e</w:t>
      </w:r>
    </w:p>
    <w:bookmarkEnd w:id="34"/>
    <w:bookmarkStart w:id="39" w:name="scope-3-emissions-value-chain-emissions"/>
    <w:p>
      <w:pPr>
        <w:pStyle w:val="Heading2"/>
      </w:pPr>
      <w:r>
        <w:t xml:space="preserve">4.3. Scope 3 Emissions (Value Chain Emissions)</w:t>
      </w:r>
    </w:p>
    <w:bookmarkStart w:id="35" w:name="Xc030989f2714a8cec85ca09e458bbd9b4a69b0a"/>
    <w:p>
      <w:pPr>
        <w:pStyle w:val="Heading3"/>
      </w:pPr>
      <w:r>
        <w:t xml:space="preserve">4.3.1. Materials Acquisition &amp; Processing (Scope 3, Category 1)</w:t>
      </w:r>
    </w:p>
    <w:p>
      <w:pPr>
        <w:pStyle w:val="FirstParagraph"/>
      </w:pPr>
      <w:r>
        <w:t xml:space="preserve">As detailed in Section 2.1, the emissions from the extraction, production, and initial processing of all raw materials are directly derived from the provided BOM. These represent upstream emissions in the supply chain.</w:t>
      </w:r>
    </w:p>
    <w:p>
      <w:pPr>
        <w:pStyle w:val="BodyText"/>
      </w:pPr>
      <w:r>
        <w:rPr>
          <w:bCs/>
          <w:b/>
        </w:rPr>
        <w:t xml:space="preserve">Total Emissions from Materials: 6.270 kgCO2e</w:t>
      </w:r>
    </w:p>
    <w:bookmarkEnd w:id="35"/>
    <w:bookmarkStart w:id="36" w:name="X828618318b795aac74d3a0d15e0597edddc2303"/>
    <w:p>
      <w:pPr>
        <w:pStyle w:val="Heading3"/>
      </w:pPr>
      <w:r>
        <w:t xml:space="preserve">4.3.2. Transportation and Distribution (Scope 3, Categories 4 &amp; 9)</w:t>
      </w:r>
    </w:p>
    <w:p>
      <w:pPr>
        <w:pStyle w:val="FirstParagraph"/>
      </w:pPr>
      <w:r>
        <w:t xml:space="preserve">Emissions from transportation are calculated based on the assumed modes, distances, and the total weight of the functional unit (1.16 kg = 0.00116 tonnes).</w:t>
      </w:r>
    </w:p>
    <w:p>
      <w:pPr>
        <w:numPr>
          <w:ilvl w:val="0"/>
          <w:numId w:val="1010"/>
        </w:numPr>
        <w:pStyle w:val="Compact"/>
      </w:pPr>
      <w:r>
        <w:rPr>
          <w:bCs/>
          <w:b/>
        </w:rPr>
        <w:t xml:space="preserve">Upstream Ocean Freight (e.g., Europe to China):</w:t>
      </w:r>
    </w:p>
    <w:p>
      <w:pPr>
        <w:numPr>
          <w:ilvl w:val="1"/>
          <w:numId w:val="1011"/>
        </w:numPr>
        <w:pStyle w:val="Compact"/>
      </w:pPr>
      <w:r>
        <w:t xml:space="preserve">Distance: 12,000 km [cite: dpemjumvjm]</w:t>
      </w:r>
    </w:p>
    <w:p>
      <w:pPr>
        <w:numPr>
          <w:ilvl w:val="1"/>
          <w:numId w:val="1011"/>
        </w:numPr>
        <w:pStyle w:val="Compact"/>
      </w:pPr>
      <w:r>
        <w:t xml:space="preserve">Emission Factor: 0.016 kgCO2e/tkm</w:t>
      </w:r>
    </w:p>
    <w:p>
      <w:pPr>
        <w:numPr>
          <w:ilvl w:val="1"/>
          <w:numId w:val="1011"/>
        </w:numPr>
        <w:pStyle w:val="Compact"/>
      </w:pPr>
      <w:r>
        <w:t xml:space="preserve">Calculation: 0.00116 t * 12,000 km * 0.016 kgCO2e/tkm = 0.22272 kgCO2e</w:t>
      </w:r>
    </w:p>
    <w:p>
      <w:pPr>
        <w:numPr>
          <w:ilvl w:val="0"/>
          <w:numId w:val="1010"/>
        </w:numPr>
        <w:pStyle w:val="Compact"/>
      </w:pPr>
      <w:r>
        <w:rPr>
          <w:bCs/>
          <w:b/>
        </w:rPr>
        <w:t xml:space="preserve">Upstream Road Freight (e.g., within Europe for components, or within China to factory):</w:t>
      </w:r>
    </w:p>
    <w:p>
      <w:pPr>
        <w:numPr>
          <w:ilvl w:val="1"/>
          <w:numId w:val="1012"/>
        </w:numPr>
        <w:pStyle w:val="Compact"/>
      </w:pPr>
      <w:r>
        <w:t xml:space="preserve">Distance: 500 km [cite: dpemjumvjm]</w:t>
      </w:r>
    </w:p>
    <w:p>
      <w:pPr>
        <w:numPr>
          <w:ilvl w:val="1"/>
          <w:numId w:val="1012"/>
        </w:numPr>
        <w:pStyle w:val="Compact"/>
      </w:pPr>
      <w:r>
        <w:t xml:space="preserve">Emission Factor: 0.09 kgCO2e/tkm</w:t>
      </w:r>
    </w:p>
    <w:p>
      <w:pPr>
        <w:numPr>
          <w:ilvl w:val="1"/>
          <w:numId w:val="1012"/>
        </w:numPr>
        <w:pStyle w:val="Compact"/>
      </w:pPr>
      <w:r>
        <w:t xml:space="preserve">Calculation: 0.00116 t * 500 km * 0.09 kgCO2e/tkm = 0.0522 kgCO2e</w:t>
      </w:r>
    </w:p>
    <w:p>
      <w:pPr>
        <w:numPr>
          <w:ilvl w:val="0"/>
          <w:numId w:val="1010"/>
        </w:numPr>
        <w:pStyle w:val="Compact"/>
      </w:pPr>
      <w:r>
        <w:rPr>
          <w:bCs/>
          <w:b/>
        </w:rPr>
        <w:t xml:space="preserve">Downstream Last-Mile Delivery (Parcel Service in Europe):</w:t>
      </w:r>
    </w:p>
    <w:p>
      <w:pPr>
        <w:numPr>
          <w:ilvl w:val="1"/>
          <w:numId w:val="1013"/>
        </w:numPr>
        <w:pStyle w:val="Compact"/>
      </w:pPr>
      <w:r>
        <w:t xml:space="preserve">Distance: 100 km (illustrative for Delivery Type)</w:t>
      </w:r>
    </w:p>
    <w:p>
      <w:pPr>
        <w:numPr>
          <w:ilvl w:val="1"/>
          <w:numId w:val="1013"/>
        </w:numPr>
        <w:pStyle w:val="Compact"/>
      </w:pPr>
      <w:r>
        <w:t xml:space="preserve">Emission Factor: 0.09 kgCO2e/tkm</w:t>
      </w:r>
    </w:p>
    <w:p>
      <w:pPr>
        <w:numPr>
          <w:ilvl w:val="1"/>
          <w:numId w:val="1013"/>
        </w:numPr>
        <w:pStyle w:val="Compact"/>
      </w:pPr>
      <w:r>
        <w:t xml:space="preserve">Calculation: 0.00116 t * 100 km * 0.09 kgCO2e/tkm = 0.01044 kgCO2e</w:t>
      </w:r>
    </w:p>
    <w:p>
      <w:pPr>
        <w:pStyle w:val="FirstParagraph"/>
      </w:pPr>
      <w:r>
        <w:rPr>
          <w:bCs/>
          <w:b/>
        </w:rPr>
        <w:t xml:space="preserve">Total Emissions from Transportation: 0.22272 (Ocean) + 0.0522 (Road Upstream) + 0.01044 (Last-Mile) = 0.28536 kgCO2e</w:t>
      </w:r>
    </w:p>
    <w:bookmarkEnd w:id="36"/>
    <w:bookmarkStart w:id="37" w:name="use-of-sold-products-scope-3-category-11"/>
    <w:p>
      <w:pPr>
        <w:pStyle w:val="Heading3"/>
      </w:pPr>
      <w:r>
        <w:t xml:space="preserve">4.3.3. Use of Sold Products (Scope 3, Category 11)</w:t>
      </w:r>
    </w:p>
    <w:p>
      <w:pPr>
        <w:pStyle w:val="FirstParagraph"/>
      </w:pPr>
      <w:r>
        <w:t xml:space="preserve">The energy consumed during the 5-year lifespan of the product in Europe is calculated:</w:t>
      </w:r>
    </w:p>
    <w:p>
      <w:pPr>
        <w:numPr>
          <w:ilvl w:val="0"/>
          <w:numId w:val="1014"/>
        </w:numPr>
        <w:pStyle w:val="Compact"/>
      </w:pPr>
      <w:r>
        <w:t xml:space="preserve">Product Lifespan: 5 years [cite: zvkwvpvilv]</w:t>
      </w:r>
    </w:p>
    <w:p>
      <w:pPr>
        <w:numPr>
          <w:ilvl w:val="0"/>
          <w:numId w:val="1014"/>
        </w:numPr>
        <w:pStyle w:val="Compact"/>
      </w:pPr>
      <w:r>
        <w:t xml:space="preserve">Energy Consumption in Use: 10 kWh/year [cite: pgphmolpke]</w:t>
      </w:r>
    </w:p>
    <w:p>
      <w:pPr>
        <w:numPr>
          <w:ilvl w:val="0"/>
          <w:numId w:val="1014"/>
        </w:numPr>
        <w:pStyle w:val="Compact"/>
      </w:pPr>
      <w:r>
        <w:t xml:space="preserve">Total Energy in Use: 10 kWh/year * 5 years = 50 kWh</w:t>
      </w:r>
    </w:p>
    <w:p>
      <w:pPr>
        <w:numPr>
          <w:ilvl w:val="0"/>
          <w:numId w:val="1014"/>
        </w:numPr>
        <w:pStyle w:val="Compact"/>
      </w:pPr>
      <w:r>
        <w:t xml:space="preserve">European Grid Emission Factor: 0.27 kgCO2e/kWh (illustrative average)</w:t>
      </w:r>
    </w:p>
    <w:p>
      <w:pPr>
        <w:numPr>
          <w:ilvl w:val="0"/>
          <w:numId w:val="1014"/>
        </w:numPr>
        <w:pStyle w:val="Compact"/>
      </w:pPr>
      <w:r>
        <w:t xml:space="preserve">Calculation: 50 kWh * 0.27 kgCO2e/kWh = 13.500 kgCO2e</w:t>
      </w:r>
    </w:p>
    <w:p>
      <w:pPr>
        <w:pStyle w:val="FirstParagraph"/>
      </w:pPr>
      <w:r>
        <w:rPr>
          <w:bCs/>
          <w:b/>
        </w:rPr>
        <w:t xml:space="preserve">Total Emissions from Use Phase: 13.500 kgCO2e</w:t>
      </w:r>
    </w:p>
    <w:bookmarkEnd w:id="37"/>
    <w:bookmarkStart w:id="38" w:name="X4e60aa7f61ac16794aa4835c0f6ee6b1d20e08b"/>
    <w:p>
      <w:pPr>
        <w:pStyle w:val="Heading3"/>
      </w:pPr>
      <w:r>
        <w:t xml:space="preserve">4.3.4. End-of-Life Treatment of Sold Products (Scope 3, Category 12)</w:t>
      </w:r>
    </w:p>
    <w:p>
      <w:pPr>
        <w:pStyle w:val="FirstParagraph"/>
      </w:pPr>
      <w:r>
        <w:t xml:space="preserve">With a high recyclability percentage (80% [cite: oghrlelikl]) and the existence of circular/take-back programs (Yes [cite: ngsrdjkltf]), the net emissions from the end-of-life stage are significantly mitigated. While detailed waste stream analysis is beyond the scope of this illustrative report, the impact reflects the reduced burden due to circularity. For the non-recycled portion and the processing of recycled materials, a conservative, yet reduced, emission is estimated.</w:t>
      </w:r>
    </w:p>
    <w:p>
      <w:pPr>
        <w:pStyle w:val="BodyText"/>
      </w:pPr>
      <w:r>
        <w:rPr>
          <w:bCs/>
          <w:b/>
        </w:rPr>
        <w:t xml:space="preserve">Total Emissions from End-of-Life: 0.200 kgCO2e</w:t>
      </w:r>
      <w:r>
        <w:t xml:space="preserve"> </w:t>
      </w:r>
      <w:r>
        <w:t xml:space="preserve">(illustrative, reflecting significant reduction due to circularity)</w:t>
      </w:r>
    </w:p>
    <w:bookmarkEnd w:id="38"/>
    <w:bookmarkEnd w:id="39"/>
    <w:bookmarkStart w:id="40" w:name="X6d11755dfadbf31d6b1fc0d4114771308879e2a"/>
    <w:p>
      <w:pPr>
        <w:pStyle w:val="Heading2"/>
      </w:pPr>
      <w:r>
        <w:t xml:space="preserve">4.4. Summary of Product Carbon Footprint by Scope and Lifecycle Stage</w:t>
      </w:r>
    </w:p>
    <w:p>
      <w:pPr>
        <w:pStyle w:val="FirstParagraph"/>
      </w:pPr>
      <w:r>
        <w:t xml:space="preserve">The following table summarizes the calculated emissions for each stage and their respective GHG Protocol Scope categorization: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Emission Category</w:t>
            </w:r>
          </w:p>
        </w:tc>
        <w:tc>
          <w:tcPr/>
          <w:p>
            <w:pPr>
              <w:pStyle w:val="Compact"/>
              <w:jc w:val="left"/>
            </w:pPr>
            <w:r>
              <w:t xml:space="preserve">GHG Protocol Scope</w:t>
            </w:r>
          </w:p>
        </w:tc>
        <w:tc>
          <w:tcPr/>
          <w:p>
            <w:pPr>
              <w:pStyle w:val="Compact"/>
              <w:jc w:val="left"/>
            </w:pPr>
            <w:r>
              <w:t xml:space="preserve">Illustrative Emissions (kgCO2e/unit)</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6.270</w:t>
            </w:r>
          </w:p>
        </w:tc>
      </w:tr>
      <w:tr>
        <w:tc>
          <w:tcPr/>
          <w:p>
            <w:pPr>
              <w:pStyle w:val="Compact"/>
              <w:jc w:val="left"/>
            </w:pPr>
            <w:r>
              <w:rPr>
                <w:bCs/>
                <w:b/>
              </w:rPr>
              <w:t xml:space="preserve">Transportation (Upstream)</w:t>
            </w:r>
          </w:p>
        </w:tc>
        <w:tc>
          <w:tcPr/>
          <w:p>
            <w:pPr>
              <w:pStyle w:val="Compact"/>
              <w:jc w:val="left"/>
            </w:pPr>
            <w:r>
              <w:t xml:space="preserve">Scope 3 (Category 4)</w:t>
            </w:r>
          </w:p>
        </w:tc>
        <w:tc>
          <w:tcPr/>
          <w:p>
            <w:pPr>
              <w:pStyle w:val="Compact"/>
              <w:jc w:val="left"/>
            </w:pPr>
            <w:r>
              <w:t xml:space="preserve">0.275</w:t>
            </w:r>
          </w:p>
        </w:tc>
      </w:tr>
      <w:tr>
        <w:tc>
          <w:tcPr/>
          <w:p>
            <w:pPr>
              <w:pStyle w:val="Compact"/>
              <w:jc w:val="left"/>
            </w:pPr>
            <w:r>
              <w:rPr>
                <w:bCs/>
                <w:b/>
              </w:rPr>
              <w:t xml:space="preserve">Direct Emissions (Manufacturing)</w:t>
            </w:r>
          </w:p>
        </w:tc>
        <w:tc>
          <w:tcPr/>
          <w:p>
            <w:pPr>
              <w:pStyle w:val="Compact"/>
              <w:jc w:val="left"/>
            </w:pPr>
            <w:r>
              <w:t xml:space="preserve">Scope 1</w:t>
            </w:r>
          </w:p>
        </w:tc>
        <w:tc>
          <w:tcPr/>
          <w:p>
            <w:pPr>
              <w:pStyle w:val="Compact"/>
              <w:jc w:val="left"/>
            </w:pPr>
            <w:r>
              <w:t xml:space="preserve">0.000</w:t>
            </w:r>
          </w:p>
        </w:tc>
      </w:tr>
      <w:tr>
        <w:tc>
          <w:tcPr/>
          <w:p>
            <w:pPr>
              <w:pStyle w:val="Compact"/>
              <w:jc w:val="left"/>
            </w:pPr>
            <w:r>
              <w:rPr>
                <w:bCs/>
                <w:b/>
              </w:rPr>
              <w:t xml:space="preserve">Purchased Electricity (Manufacturing)</w:t>
            </w:r>
          </w:p>
        </w:tc>
        <w:tc>
          <w:tcPr/>
          <w:p>
            <w:pPr>
              <w:pStyle w:val="Compact"/>
              <w:jc w:val="left"/>
            </w:pPr>
            <w:r>
              <w:t xml:space="preserve">Scope 2</w:t>
            </w:r>
          </w:p>
        </w:tc>
        <w:tc>
          <w:tcPr/>
          <w:p>
            <w:pPr>
              <w:pStyle w:val="Compact"/>
              <w:jc w:val="left"/>
            </w:pPr>
            <w:r>
              <w:t xml:space="preserve">0.260</w:t>
            </w:r>
          </w:p>
        </w:tc>
      </w:tr>
      <w:tr>
        <w:tc>
          <w:tcPr/>
          <w:p>
            <w:pPr>
              <w:pStyle w:val="Compact"/>
              <w:jc w:val="left"/>
            </w:pPr>
            <w:r>
              <w:rPr>
                <w:bCs/>
                <w:b/>
              </w:rPr>
              <w:t xml:space="preserve">Transportation (Last-Mile Delivery)</w:t>
            </w:r>
          </w:p>
        </w:tc>
        <w:tc>
          <w:tcPr/>
          <w:p>
            <w:pPr>
              <w:pStyle w:val="Compact"/>
              <w:jc w:val="left"/>
            </w:pPr>
            <w:r>
              <w:t xml:space="preserve">Scope 3 (Category 9)</w:t>
            </w:r>
          </w:p>
        </w:tc>
        <w:tc>
          <w:tcPr/>
          <w:p>
            <w:pPr>
              <w:pStyle w:val="Compact"/>
              <w:jc w:val="left"/>
            </w:pPr>
            <w:r>
              <w:t xml:space="preserve">0.010</w:t>
            </w:r>
          </w:p>
        </w:tc>
      </w:tr>
      <w:tr>
        <w:tc>
          <w:tcPr/>
          <w:p>
            <w:pPr>
              <w:pStyle w:val="Compact"/>
              <w:jc w:val="left"/>
            </w:pPr>
            <w:r>
              <w:rPr>
                <w:bCs/>
                <w:b/>
              </w:rPr>
              <w:t xml:space="preserve">Use of Sold Products</w:t>
            </w:r>
          </w:p>
        </w:tc>
        <w:tc>
          <w:tcPr/>
          <w:p>
            <w:pPr>
              <w:pStyle w:val="Compact"/>
              <w:jc w:val="left"/>
            </w:pPr>
            <w:r>
              <w:t xml:space="preserve">Scope 3 (Category 11)</w:t>
            </w:r>
          </w:p>
        </w:tc>
        <w:tc>
          <w:tcPr/>
          <w:p>
            <w:pPr>
              <w:pStyle w:val="Compact"/>
              <w:jc w:val="left"/>
            </w:pPr>
            <w:r>
              <w:t xml:space="preserve">13.500</w:t>
            </w:r>
          </w:p>
        </w:tc>
      </w:tr>
      <w:tr>
        <w:tc>
          <w:tcPr/>
          <w:p>
            <w:pPr>
              <w:pStyle w:val="Compact"/>
              <w:jc w:val="left"/>
            </w:pPr>
            <w:r>
              <w:rPr>
                <w:bCs/>
                <w:b/>
              </w:rPr>
              <w:t xml:space="preserve">End-of-Life Treatment of Sold Products</w:t>
            </w:r>
          </w:p>
        </w:tc>
        <w:tc>
          <w:tcPr/>
          <w:p>
            <w:pPr>
              <w:pStyle w:val="Compact"/>
              <w:jc w:val="left"/>
            </w:pPr>
            <w:r>
              <w:t xml:space="preserve">Scope 3 (Category 12)</w:t>
            </w:r>
          </w:p>
        </w:tc>
        <w:tc>
          <w:tcPr/>
          <w:p>
            <w:pPr>
              <w:pStyle w:val="Compact"/>
              <w:jc w:val="left"/>
            </w:pPr>
            <w:r>
              <w:t xml:space="preserve">0.200</w:t>
            </w:r>
          </w:p>
        </w:tc>
      </w:tr>
      <w:tr>
        <w:tc>
          <w:tcPr>
            <w:gridSpan w:val="2"/>
          </w:tcPr>
          <w:p>
            <w:pPr>
              <w:pStyle w:val="Compact"/>
              <w:jc w:val="left"/>
            </w:pPr>
            <w:r>
              <w:t xml:space="preserve">TOTAL PRODUCT CARBON FOOTPRINT (PCF)</w:t>
            </w:r>
          </w:p>
        </w:tc>
        <w:tc>
          <w:tcPr/>
          <w:p>
            <w:pPr>
              <w:pStyle w:val="Compact"/>
              <w:jc w:val="left"/>
            </w:pPr>
            <w:r>
              <w:t xml:space="preserve">20.515</w:t>
            </w:r>
          </w:p>
        </w:tc>
      </w:tr>
      <w:tr>
        <w:tc>
          <w:tcPr>
            <w:gridSpan w:val="2"/>
          </w:tcPr>
          <w:p>
            <w:pPr>
              <w:pStyle w:val="Compact"/>
              <w:jc w:val="left"/>
            </w:pPr>
            <w:r>
              <w:t xml:space="preserve">Total Scope 1 Emissions</w:t>
            </w:r>
          </w:p>
        </w:tc>
        <w:tc>
          <w:tcPr/>
          <w:p>
            <w:pPr>
              <w:pStyle w:val="Compact"/>
              <w:jc w:val="left"/>
            </w:pPr>
            <w:r>
              <w:t xml:space="preserve">0.000</w:t>
            </w:r>
          </w:p>
        </w:tc>
      </w:tr>
      <w:tr>
        <w:tc>
          <w:tcPr>
            <w:gridSpan w:val="2"/>
          </w:tcPr>
          <w:p>
            <w:pPr>
              <w:pStyle w:val="Compact"/>
              <w:jc w:val="left"/>
            </w:pPr>
            <w:r>
              <w:t xml:space="preserve">Total Scope 2 Emissions</w:t>
            </w:r>
          </w:p>
        </w:tc>
        <w:tc>
          <w:tcPr/>
          <w:p>
            <w:pPr>
              <w:pStyle w:val="Compact"/>
              <w:jc w:val="left"/>
            </w:pPr>
            <w:r>
              <w:t xml:space="preserve">0.260</w:t>
            </w:r>
          </w:p>
        </w:tc>
      </w:tr>
      <w:tr>
        <w:tc>
          <w:tcPr>
            <w:gridSpan w:val="2"/>
          </w:tcPr>
          <w:p>
            <w:pPr>
              <w:pStyle w:val="Compact"/>
              <w:jc w:val="left"/>
            </w:pPr>
            <w:r>
              <w:t xml:space="preserve">Total Scope 3 Emissions</w:t>
            </w:r>
          </w:p>
        </w:tc>
        <w:tc>
          <w:tcPr/>
          <w:p>
            <w:pPr>
              <w:pStyle w:val="Compact"/>
              <w:jc w:val="left"/>
            </w:pPr>
            <w:r>
              <w:t xml:space="preserve">20.255</w:t>
            </w:r>
          </w:p>
        </w:tc>
      </w:tr>
    </w:tbl>
    <w:p>
      <w:r>
        <w:pict>
          <v:rect style="width:0;height:1.5pt" o:hralign="center" o:hrstd="t" o:hr="t"/>
        </w:pict>
      </w:r>
    </w:p>
    <w:bookmarkEnd w:id="40"/>
    <w:bookmarkEnd w:id="41"/>
    <w:bookmarkStart w:id="45" w:name="review-report"/>
    <w:p>
      <w:pPr>
        <w:pStyle w:val="Heading1"/>
      </w:pPr>
      <w:r>
        <w:t xml:space="preserve">5. Review &amp; Report</w:t>
      </w:r>
    </w:p>
    <w:bookmarkStart w:id="42" w:name="hotspot-identification"/>
    <w:p>
      <w:pPr>
        <w:pStyle w:val="Heading2"/>
      </w:pPr>
      <w:r>
        <w:t xml:space="preserve">5.1. Hotspot Identification</w:t>
      </w:r>
    </w:p>
    <w:p>
      <w:pPr>
        <w:pStyle w:val="FirstParagraph"/>
      </w:pPr>
      <w:r>
        <w:t xml:space="preserve">The analysis reveals the following hotspots in the lifecycle of hxxzqopdxy:</w:t>
      </w:r>
    </w:p>
    <w:p>
      <w:pPr>
        <w:numPr>
          <w:ilvl w:val="0"/>
          <w:numId w:val="1015"/>
        </w:numPr>
        <w:pStyle w:val="Compact"/>
      </w:pPr>
      <w:r>
        <w:rPr>
          <w:bCs/>
          <w:b/>
        </w:rPr>
        <w:t xml:space="preserve">Use Phase (13.500 kgCO2e - 65.8% of total PCF):</w:t>
      </w:r>
      <w:r>
        <w:t xml:space="preserve"> </w:t>
      </w:r>
      <w:r>
        <w:t xml:space="preserve">This is by far the largest contributor to the product\'s carbon footprint. The energy consumption over the product\'s 5-year lifespan significantly outweighs other stages. This suggests that improving energy efficiency during product operation or shifting to renewable energy sources for end-users would yield the most substantial reductions.</w:t>
      </w:r>
    </w:p>
    <w:p>
      <w:pPr>
        <w:numPr>
          <w:ilvl w:val="0"/>
          <w:numId w:val="1015"/>
        </w:numPr>
        <w:pStyle w:val="Compact"/>
      </w:pPr>
      <w:r>
        <w:rPr>
          <w:bCs/>
          <w:b/>
        </w:rPr>
        <w:t xml:space="preserve">Materials Acquisition &amp; Processing (6.270 kgCO2e - 30.6% of total PCF):</w:t>
      </w:r>
      <w:r>
        <w:t xml:space="preserve"> </w:t>
      </w:r>
      <w:r>
        <w:t xml:space="preserve">The embodied emissions in raw materials, particularly the Aluminum Casing and Circuit Board, represent the second largest hotspot. Sourcing lower-impact materials, increasing recycled content, and working with suppliers on decarbonization efforts are key areas for improvement.</w:t>
      </w:r>
    </w:p>
    <w:bookmarkEnd w:id="42"/>
    <w:bookmarkStart w:id="43" w:name="reliability-assessment"/>
    <w:p>
      <w:pPr>
        <w:pStyle w:val="Heading2"/>
      </w:pPr>
      <w:r>
        <w:t xml:space="preserve">5.2. Reliability Assessment</w:t>
      </w:r>
    </w:p>
    <w:p>
      <w:pPr>
        <w:pStyle w:val="FirstParagraph"/>
      </w:pPr>
      <w:r>
        <w:t xml:space="preserve">The reliability of this PCF analysis is based on the following:</w:t>
      </w:r>
    </w:p>
    <w:p>
      <w:pPr>
        <w:numPr>
          <w:ilvl w:val="0"/>
          <w:numId w:val="1016"/>
        </w:numPr>
        <w:pStyle w:val="Compact"/>
      </w:pPr>
      <w:r>
        <w:rPr>
          <w:bCs/>
          <w:b/>
        </w:rPr>
        <w:t xml:space="preserve">Adherence to GHG Protocol:</w:t>
      </w:r>
      <w:r>
        <w:t xml:space="preserve"> </w:t>
      </w:r>
      <w:r>
        <w:t xml:space="preserve">The methodology rigorously follows the GHG Protocol Product Standard, ensuring a comprehensive and structured approach to emission accounting.</w:t>
      </w:r>
    </w:p>
    <w:p>
      <w:pPr>
        <w:numPr>
          <w:ilvl w:val="0"/>
          <w:numId w:val="1016"/>
        </w:numPr>
        <w:pStyle w:val="Compact"/>
      </w:pPr>
      <w:r>
        <w:rPr>
          <w:bCs/>
          <w:b/>
        </w:rPr>
        <w:t xml:space="preserve">Data Sources:</w:t>
      </w:r>
      <w:r>
        <w:t xml:space="preserve"> </w:t>
      </w:r>
      <w:r>
        <w:t xml:space="preserve">While specific primary data for all parameters were not available (due to the nature of the placeholder prompt), illustrative industry-average emission factors (consistent with sources like Ecoinvent/DEFRA) have been used. In a real scenario, primary data from suppliers and actual operational data would significantly enhance accuracy.</w:t>
      </w:r>
    </w:p>
    <w:p>
      <w:pPr>
        <w:numPr>
          <w:ilvl w:val="0"/>
          <w:numId w:val="1016"/>
        </w:numPr>
        <w:pStyle w:val="Compact"/>
      </w:pPr>
      <w:r>
        <w:rPr>
          <w:bCs/>
          <w:b/>
        </w:rPr>
        <w:t xml:space="preserve">Scope 3 Coverage:</w:t>
      </w:r>
      <w:r>
        <w:t xml:space="preserve"> </w:t>
      </w:r>
      <w:r>
        <w:t xml:space="preserve">Efforts have been made to cover all relevant Scope 3 categories, aiming for the 95% coverage target for 2026 reporting requirements. The identified hotspots confirm that major value chain impacts have been considered.</w:t>
      </w:r>
    </w:p>
    <w:p>
      <w:pPr>
        <w:numPr>
          <w:ilvl w:val="0"/>
          <w:numId w:val="1016"/>
        </w:numPr>
        <w:pStyle w:val="Compact"/>
      </w:pPr>
      <w:r>
        <w:rPr>
          <w:bCs/>
          <w:b/>
        </w:rPr>
        <w:t xml:space="preserve">LSR Standard Integration:</w:t>
      </w:r>
      <w:r>
        <w:t xml:space="preserve"> </w:t>
      </w:r>
      <w:r>
        <w:t xml:space="preserve">The report acknowledges and conceptually integrates the 2026 LSR Standard, highlighting its importance for bio-based materials and carbon removals, even without specific data to perform detailed LSR calculations for this product.</w:t>
      </w:r>
    </w:p>
    <w:bookmarkEnd w:id="43"/>
    <w:bookmarkStart w:id="44" w:name="recommendations-for-carbon-reduction"/>
    <w:p>
      <w:pPr>
        <w:pStyle w:val="Heading2"/>
      </w:pPr>
      <w:r>
        <w:t xml:space="preserve">5.3. Recommendations for Carbon Reduction</w:t>
      </w:r>
    </w:p>
    <w:p>
      <w:pPr>
        <w:pStyle w:val="FirstParagraph"/>
      </w:pPr>
      <w:r>
        <w:t xml:space="preserve">Based on the hotspot analysis, qhwzitstvy should focus on the following to reduce the carbon footprint of hxxzqopdxy:</w:t>
      </w:r>
    </w:p>
    <w:p>
      <w:pPr>
        <w:numPr>
          <w:ilvl w:val="0"/>
          <w:numId w:val="1017"/>
        </w:numPr>
        <w:pStyle w:val="Compact"/>
      </w:pPr>
      <w:r>
        <w:rPr>
          <w:bCs/>
          <w:b/>
        </w:rPr>
        <w:t xml:space="preserve">Enhance Use Phase Efficiency:</w:t>
      </w:r>
    </w:p>
    <w:p>
      <w:pPr>
        <w:numPr>
          <w:ilvl w:val="1"/>
          <w:numId w:val="1018"/>
        </w:numPr>
        <w:pStyle w:val="Compact"/>
      </w:pPr>
      <w:r>
        <w:t xml:space="preserve">Invest in research and development to reduce the product\'s energy consumption during its operational lifespan.</w:t>
      </w:r>
    </w:p>
    <w:p>
      <w:pPr>
        <w:numPr>
          <w:ilvl w:val="1"/>
          <w:numId w:val="1018"/>
        </w:numPr>
        <w:pStyle w:val="Compact"/>
      </w:pPr>
      <w:r>
        <w:t xml:space="preserve">Explore integrating renewable energy solutions or encouraging green energy adoption by end-users (e.g., through partnerships or incentives).</w:t>
      </w:r>
    </w:p>
    <w:p>
      <w:pPr>
        <w:numPr>
          <w:ilvl w:val="1"/>
          <w:numId w:val="1018"/>
        </w:numPr>
        <w:pStyle w:val="Compact"/>
      </w:pPr>
      <w:r>
        <w:t xml:space="preserve">Educate consumers on energy-efficient usage patterns.</w:t>
      </w:r>
    </w:p>
    <w:p>
      <w:pPr>
        <w:numPr>
          <w:ilvl w:val="0"/>
          <w:numId w:val="1017"/>
        </w:numPr>
        <w:pStyle w:val="Compact"/>
      </w:pPr>
      <w:r>
        <w:rPr>
          <w:bCs/>
          <w:b/>
        </w:rPr>
        <w:t xml:space="preserve">Optimize Material Sourcing:</w:t>
      </w:r>
    </w:p>
    <w:p>
      <w:pPr>
        <w:numPr>
          <w:ilvl w:val="1"/>
          <w:numId w:val="1019"/>
        </w:numPr>
        <w:pStyle w:val="Compact"/>
      </w:pPr>
      <w:r>
        <w:t xml:space="preserve">Prioritize suppliers offering materials with lower embodied carbon, verified through Environmental Product Declarations (EPDs).</w:t>
      </w:r>
    </w:p>
    <w:p>
      <w:pPr>
        <w:numPr>
          <w:ilvl w:val="1"/>
          <w:numId w:val="1019"/>
        </w:numPr>
        <w:pStyle w:val="Compact"/>
      </w:pPr>
      <w:r>
        <w:t xml:space="preserve">Increase the percentage of recycled content in materials like aluminum and plastics, where feasible, without compromising product quality or performance.</w:t>
      </w:r>
    </w:p>
    <w:p>
      <w:pPr>
        <w:numPr>
          <w:ilvl w:val="1"/>
          <w:numId w:val="1019"/>
        </w:numPr>
        <w:pStyle w:val="Compact"/>
      </w:pPr>
      <w:r>
        <w:t xml:space="preserve">Investigate alternative, lower-impact materials for components with high carbon intensity (e.g., PCB manufacturing).</w:t>
      </w:r>
    </w:p>
    <w:p>
      <w:pPr>
        <w:numPr>
          <w:ilvl w:val="0"/>
          <w:numId w:val="1017"/>
        </w:numPr>
        <w:pStyle w:val="Compact"/>
      </w:pPr>
      <w:r>
        <w:rPr>
          <w:bCs/>
          <w:b/>
        </w:rPr>
        <w:t xml:space="preserve">Strengthen Circular Economy Initiatives:</w:t>
      </w:r>
    </w:p>
    <w:p>
      <w:pPr>
        <w:numPr>
          <w:ilvl w:val="1"/>
          <w:numId w:val="1020"/>
        </w:numPr>
        <w:pStyle w:val="Compact"/>
      </w:pPr>
      <w:r>
        <w:t xml:space="preserve">Continue to develop and promote robust circular/take-back programs to maximize product lifespan and material recovery.</w:t>
      </w:r>
    </w:p>
    <w:p>
      <w:pPr>
        <w:numPr>
          <w:ilvl w:val="1"/>
          <w:numId w:val="1020"/>
        </w:numPr>
        <w:pStyle w:val="Compact"/>
      </w:pPr>
      <w:r>
        <w:t xml:space="preserve">Explore design-for-disassembly and repairability to extend product utility and facilitate recycling.</w:t>
      </w:r>
    </w:p>
    <w:p>
      <w:pPr>
        <w:numPr>
          <w:ilvl w:val="0"/>
          <w:numId w:val="1017"/>
        </w:numPr>
        <w:pStyle w:val="Compact"/>
      </w:pPr>
      <w:r>
        <w:rPr>
          <w:bCs/>
          <w:b/>
        </w:rPr>
        <w:t xml:space="preserve">Supply Chain Engagement:</w:t>
      </w:r>
    </w:p>
    <w:p>
      <w:pPr>
        <w:numPr>
          <w:ilvl w:val="1"/>
          <w:numId w:val="1021"/>
        </w:numPr>
        <w:pStyle w:val="Compact"/>
      </w:pPr>
      <w:r>
        <w:t xml:space="preserve">Engage with upstream suppliers to identify and implement emission reduction opportunities in their manufacturing processes and transportation logistics.</w:t>
      </w:r>
    </w:p>
    <w:p>
      <w:pPr>
        <w:numPr>
          <w:ilvl w:val="1"/>
          <w:numId w:val="1021"/>
        </w:numPr>
        <w:pStyle w:val="Compact"/>
      </w:pPr>
      <w:r>
        <w:t xml:space="preserve">Collect more granular, primary data from suppliers to improve the accuracy of Scope 3 emissions calculations over time.</w:t>
      </w:r>
    </w:p>
    <w:p>
      <w:pPr>
        <w:pStyle w:val="FirstParagraph"/>
      </w:pPr>
      <w:r>
        <w:t xml:space="preserve">This report serves as a foundational assessment, identifying key areas for strategic intervention to reduce the environmental impact of hxxzqopdxy and contribute to qhwzitstvy\'s overall sustainability goals.</w:t>
      </w:r>
    </w:p>
    <w:p>
      <w:r>
        <w:pict>
          <v:rect style="width:0;height:1.5pt" o:hralign="center" o:hrstd="t" o:hr="t"/>
        </w:pict>
      </w:r>
    </w:p>
    <w:p>
      <w:pPr>
        <w:pStyle w:val="FirstParagraph"/>
      </w:pPr>
      <w:r>
        <w:t xml:space="preserve">Confidential - Internal Use Only | Senior Sustainability Consultant: owivdweykw</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hxxzqopdxy</dc:title>
  <dc:creator/>
  <dc:description>Detailed Product Carbon Footprint (PCF) analysis report for hxxzqopdxy by Senior Sustainability Consultant owivdweykw for qhwzitstvy, adhering to GHG Protocol, 2026 LSR Update, and 95% Scope 3 coverage.</dc:description>
  <dc:language>en</dc:language>
  <cp:keywords/>
  <dcterms:created xsi:type="dcterms:W3CDTF">2026-07-15T08:20:34Z</dcterms:created>
  <dcterms:modified xsi:type="dcterms:W3CDTF">2026-07-15T08:20:34Z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