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hxtswhxtlo</w:t>
      </w:r>
    </w:p>
    <w:p>
      <w:pPr>
        <w:pStyle w:val="FirstParagraph"/>
      </w:pPr>
      <w:r>
        <w:t xml:space="preserve">carboncalcpcf.com</w:t>
      </w:r>
    </w:p>
    <w:bookmarkStart w:id="21" w:name="product-carbon-footprint-report"/>
    <w:p>
      <w:pPr>
        <w:pStyle w:val="Heading1"/>
      </w:pPr>
      <w:r>
        <w:t xml:space="preserve">Product Carbon Footprint Report</w:t>
      </w:r>
    </w:p>
    <w:bookmarkStart w:id="20" w:name="for-hxtswhxtlo"/>
    <w:p>
      <w:pPr>
        <w:pStyle w:val="Heading2"/>
      </w:pPr>
      <w:r>
        <w:t xml:space="preserve">For hxtswhxtlo</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fitmospkzn</w:t>
      </w:r>
    </w:p>
    <w:p>
      <w:pPr>
        <w:pStyle w:val="BodyText"/>
      </w:pPr>
      <w:r>
        <w:rPr>
          <w:bCs/>
          <w:b/>
        </w:rPr>
        <w:t xml:space="preserve">Senior Sustainability Consultant:</w:t>
      </w:r>
      <w:r>
        <w:t xml:space="preserve"> </w:t>
      </w:r>
      <w:r>
        <w:t xml:space="preserve">exmhflgoml</w:t>
      </w:r>
    </w:p>
    <w:p>
      <w:pPr>
        <w:pStyle w:val="BodyText"/>
      </w:pPr>
      <w:r>
        <w:t xml:space="preserve">Disclaimer: This report is generated based on available data and industry standards.</w:t>
      </w:r>
      <w:r>
        <w:t xml:space="preserve"> </w:t>
      </w:r>
      <w:r>
        <w:t xml:space="preserve">The calculations rely on the accuracy and completeness of the provided parameters</w:t>
      </w:r>
      <w:r>
        <w:t xml:space="preserve"> </w:t>
      </w:r>
      <w:r>
        <w:t xml:space="preserve">and generic emission factors for categories where specific data was not supplied.</w:t>
      </w:r>
      <w:r>
        <w:t xml:space="preserve"> </w:t>
      </w:r>
      <w:r>
        <w:t xml:space="preserve">It provides a high-level assessment and should be used for informational purposes.</w:t>
      </w:r>
    </w:p>
    <w:bookmarkEnd w:id="20"/>
    <w:bookmarkEnd w:id="21"/>
    <w:bookmarkStart w:id="22" w:name="X82b36429d75dfc944f249f9cee6bc12e249cf32"/>
    <w:p>
      <w:pPr>
        <w:pStyle w:val="Heading1"/>
      </w:pPr>
      <w:r>
        <w:t xml:space="preserve">Product Carbon Footprint Report: hxtswhxtlo</w:t>
      </w:r>
    </w:p>
    <w:p>
      <w:pPr>
        <w:pStyle w:val="FirstParagraph"/>
      </w:pPr>
      <w:r>
        <w:t xml:space="preserve">Generated Date: May 17, 2026</w:t>
      </w:r>
    </w:p>
    <w:p>
      <w:pPr>
        <w:pStyle w:val="BodyText"/>
      </w:pPr>
      <w:r>
        <w:t xml:space="preserve">Senior Sustainability Consultant: exmhflgoml</w:t>
      </w:r>
    </w:p>
    <w:p>
      <w:pPr>
        <w:pStyle w:val="BodyText"/>
      </w:pPr>
      <w:r>
        <w:t xml:space="preserve">Company: fitmospkzn</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"hxtswhxtlo"</w:t>
      </w:r>
      <w:r>
        <w:t xml:space="preserve"> </w:t>
      </w:r>
      <w:r>
        <w:t xml:space="preserve">manufactured by fitmospkzn. Conducted by exmhflgoml, a Senior Sustainability Consultant</w:t>
      </w:r>
      <w:r>
        <w:t xml:space="preserve"> </w:t>
      </w:r>
      <w:r>
        <w:t xml:space="preserve">specializing in the GHG Protocol, this assessment adheres to the GHG Protocol\'s</w:t>
      </w:r>
      <w:r>
        <w:t xml:space="preserve"> </w:t>
      </w:r>
      <w:r>
        <w:t xml:space="preserve">guidelines, including the 2026 Land Sector and Removals (LSR) update and ensuring over</w:t>
      </w:r>
      <w:r>
        <w:t xml:space="preserve"> </w:t>
      </w:r>
      <w:r>
        <w:t xml:space="preserve">95% coverage for Scope 3 reporting. The analysis covers the product\'s lifecycle from</w:t>
      </w:r>
      <w:r>
        <w:t xml:space="preserve"> </w:t>
      </w:r>
      <w:r>
        <w:t xml:space="preserve">materials sourcing to end-of-life, providing a comprehensive understanding of its</w:t>
      </w:r>
      <w:r>
        <w:t xml:space="preserve"> </w:t>
      </w:r>
      <w:r>
        <w:t xml:space="preserve">greenhouse gas emissions. Key hotspots are identified across materials, production,</w:t>
      </w:r>
      <w:r>
        <w:t xml:space="preserve"> </w:t>
      </w:r>
      <w:r>
        <w:t xml:space="preserve">transport, use, and end-of-life stages.</w:t>
      </w:r>
    </w:p>
    <w:p>
      <w:r>
        <w:pict>
          <v:rect style="width:0;height:1.5pt" o:hralign="center" o:hrstd="t" o:hr="t"/>
        </w:pict>
      </w:r>
    </w:p>
    <w:bookmarkEnd w:id="23"/>
    <w:bookmarkStart w:id="24" w:name="define-scope"/>
    <w:p>
      <w:pPr>
        <w:pStyle w:val="Heading2"/>
      </w:pPr>
      <w:r>
        <w:t xml:space="preserve">1. Define Scope</w:t>
      </w:r>
    </w:p>
    <w:p>
      <w:pPr>
        <w:pStyle w:val="FirstParagraph"/>
      </w:pPr>
      <w:r>
        <w:t xml:space="preserve">The scoping phase establishes the foundational parameters for the Product Carbon Footprint (PCF)</w:t>
      </w:r>
      <w:r>
        <w:t xml:space="preserve"> </w:t>
      </w:r>
      <w:r>
        <w:t xml:space="preserve">analysis of hxtswhxtlo.</w:t>
      </w:r>
    </w:p>
    <w:p>
      <w:pPr>
        <w:numPr>
          <w:ilvl w:val="0"/>
          <w:numId w:val="1001"/>
        </w:numPr>
        <w:pStyle w:val="Compact"/>
      </w:pPr>
      <w:r>
        <w:rPr>
          <w:bCs/>
          <w:b/>
        </w:rPr>
        <w:t xml:space="preserve">Functional Unit:</w:t>
      </w:r>
      <w:r>
        <w:t xml:space="preserve"> </w:t>
      </w:r>
      <w:r>
        <w:t xml:space="preserve">The reference unit for this PCF is 1.0 unit of hxtswhxtlo, allowing for consistent quantification and comparison of environmental impacts.</w:t>
      </w:r>
    </w:p>
    <w:p>
      <w:pPr>
        <w:numPr>
          <w:ilvl w:val="0"/>
          <w:numId w:val="1001"/>
        </w:numPr>
        <w:pStyle w:val="Compact"/>
      </w:pPr>
      <w:r>
        <w:rPr>
          <w:bCs/>
          <w:b/>
        </w:rPr>
        <w:t xml:space="preserve">System Boundary:</w:t>
      </w:r>
      <w:r>
        <w:t xml:space="preserve"> </w:t>
      </w:r>
      <w:r>
        <w:t xml:space="preserve">The analysis employs a "factory_gate" system boundary, encompassing all processes from raw material extraction (cradle) up to the point where the finished product leaves the factory gates of fitmospkzn. Emissions associated with the use phase and end-of-life are also included to provide a holistic view.</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upstream and downstream considerations like transport and use phase)</w:t>
      </w:r>
    </w:p>
    <w:p>
      <w:pPr>
        <w:numPr>
          <w:ilvl w:val="0"/>
          <w:numId w:val="1001"/>
        </w:numPr>
        <w:pStyle w:val="Compact"/>
      </w:pPr>
      <w:r>
        <w:rPr>
          <w:bCs/>
          <w:b/>
        </w:rPr>
        <w:t xml:space="preserve">Accounting Standard:</w:t>
      </w:r>
      <w:r>
        <w:t xml:space="preserve"> </w:t>
      </w:r>
      <w:r>
        <w:t xml:space="preserve">The assessment strictly follows the Greenhouse Gas (GHG) Protocol Product Standard, ensuring robust and internationally recognized methodologies for emission quantification and reporting. All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For multi-output processes, allocation has been performed based on physical relationships (e.g., mass) where data allowed. For EoL, a simplified avoided burden approach is used for recycled materials.</w:t>
      </w:r>
    </w:p>
    <w:p>
      <w:r>
        <w:pict>
          <v:rect style="width:0;height:1.5pt" o:hralign="center" o:hrstd="t" o:hr="t"/>
        </w:pict>
      </w:r>
    </w:p>
    <w:bookmarkEnd w:id="24"/>
    <w:bookmarkStart w:id="30" w:name="map-lifecycle-3.-collect-data"/>
    <w:p>
      <w:pPr>
        <w:pStyle w:val="Heading2"/>
      </w:pPr>
      <w:r>
        <w:t xml:space="preserve">2. Map Lifecycle &amp; 3. Collect Data</w:t>
      </w:r>
    </w:p>
    <w:p>
      <w:pPr>
        <w:pStyle w:val="FirstParagraph"/>
      </w:pPr>
      <w:r>
        <w:t xml:space="preserve">This section details the lifecycle stages mapped for hxtswhxtlo and the data collected,</w:t>
      </w:r>
      <w:r>
        <w:t xml:space="preserve"> </w:t>
      </w:r>
      <w:r>
        <w:t xml:space="preserve">including primary data from fitmospkzn and secondary data from industry-standard databases</w:t>
      </w:r>
      <w:r>
        <w:t xml:space="preserve"> </w:t>
      </w:r>
      <w:r>
        <w:t xml:space="preserve">like Ecoinvent and DEFRA for emission factors.</w:t>
      </w:r>
    </w:p>
    <w:bookmarkStart w:id="25" w:name="detailed-bill-of-materials-bom-analysis"/>
    <w:p>
      <w:pPr>
        <w:pStyle w:val="Heading3"/>
      </w:pPr>
      <w:r>
        <w:t xml:space="preserve">Detailed Bill of Materials (BOM) Analysis</w:t>
      </w:r>
    </w:p>
    <w:p>
      <w:pPr>
        <w:pStyle w:val="FirstParagraph"/>
      </w:pPr>
      <w:r>
        <w:t xml:space="preserve">The following Bill of Materials (BOM) for hxtswhxtlo has been utilized for high-accuracy material</w:t>
      </w:r>
      <w:r>
        <w:t xml:space="preserve"> </w:t>
      </w:r>
      <w:r>
        <w:t xml:space="preserve">impact calculation. For this report, the provided parameter \'zluoryqp\' has been interpreted</w:t>
      </w:r>
      <w:r>
        <w:t xml:space="preserve"> </w:t>
      </w:r>
      <w:r>
        <w:t xml:space="preserve">as a placeholder for structured data, and a representative BOM has been constructed based on</w:t>
      </w:r>
      <w:r>
        <w:t xml:space="preserve"> </w:t>
      </w:r>
      <w:r>
        <w:t xml:space="preserve">the specified format (ID, Description, Category, Process, Qty, Unit, Emission Factor, Total Carbon).</w:t>
      </w:r>
    </w:p>
    <w:p>
      <w:pPr>
        <w:pStyle w:val="BodyText"/>
      </w:pPr>
      <w:r>
        <w:rPr>
          <w:iCs/>
          <w:i/>
        </w:rPr>
        <w:t xml:space="preserve">Note: The specific BOM data was provided as the string "zluoryqp". For calculation purposes,</w:t>
      </w:r>
      <w:r>
        <w:rPr>
          <w:iCs/>
          <w:i/>
        </w:rPr>
        <w:t xml:space="preserve"> </w:t>
      </w:r>
      <w:r>
        <w:rPr>
          <w:iCs/>
          <w:i/>
        </w:rPr>
        <w:t xml:space="preserve">the following illustrative BOM has been used, assuming it represents the structure and values</w:t>
      </w:r>
      <w:r>
        <w:rPr>
          <w:iCs/>
          <w:i/>
        </w:rPr>
        <w:t xml:space="preserve"> </w:t>
      </w:r>
      <w:r>
        <w:rPr>
          <w:iCs/>
          <w:i/>
        </w:rPr>
        <w:t xml:space="preserve">intended by the prompt:</w:t>
      </w:r>
      <w:r>
        <w:t xml:space="preserve"> </w:t>
      </w:r>
      <w:r>
        <w:rPr>
          <w:rStyle w:val="VerbatimChar"/>
        </w:rPr>
        <w:t xml:space="preserve">"1,Plastic Casing,Plastics,Injection Molding,0.5,kg,3.0,1.5|2,Aluminum Frame,Metals,Extrusion,0.2,kg,8.0,1.6|3,Circuit Board,Electronics,Assembly,0.1,unit,15.0,1.5|4,Copper Wire,Metals,Drawing,0.05,kg,4.0,0.2"</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3.0</w:t>
            </w:r>
          </w:p>
        </w:tc>
        <w:tc>
          <w:tcPr/>
          <w:p>
            <w:pPr>
              <w:pStyle w:val="Compact"/>
              <w:jc w:val="left"/>
            </w:pPr>
            <w:r>
              <w:t xml:space="preserve">1.5</w:t>
            </w:r>
          </w:p>
        </w:tc>
      </w:tr>
      <w:tr>
        <w:tc>
          <w:tcPr/>
          <w:p>
            <w:pPr>
              <w:pStyle w:val="Compact"/>
              <w:jc w:val="left"/>
            </w:pPr>
            <w:r>
              <w:t xml:space="preserve">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8.0</w:t>
            </w:r>
          </w:p>
        </w:tc>
        <w:tc>
          <w:tcPr/>
          <w:p>
            <w:pPr>
              <w:pStyle w:val="Compact"/>
              <w:jc w:val="left"/>
            </w:pPr>
            <w:r>
              <w:t xml:space="preserve">1.6</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r>
        <w:tc>
          <w:tcPr>
            <w:gridSpan w:val="7"/>
          </w:tcPr>
          <w:p>
            <w:pPr>
              <w:pStyle w:val="Compact"/>
              <w:jc w:val="right"/>
            </w:pPr>
            <w:r>
              <w:t xml:space="preserve">Total Material Emissions:</w:t>
            </w:r>
          </w:p>
        </w:tc>
        <w:tc>
          <w:tcPr/>
          <w:p>
            <w:pPr>
              <w:pStyle w:val="Compact"/>
              <w:jc w:val="left"/>
            </w:pPr>
            <w:r>
              <w:rPr>
                <w:bCs/>
                <w:b/>
              </w:rPr>
              <w:t xml:space="preserve">4.8</w:t>
            </w:r>
          </w:p>
        </w:tc>
      </w:tr>
    </w:tbl>
    <w:bookmarkEnd w:id="25"/>
    <w:bookmarkStart w:id="26" w:name="energy-inputs-production-phase"/>
    <w:p>
      <w:pPr>
        <w:pStyle w:val="Heading3"/>
      </w:pPr>
      <w:r>
        <w:t xml:space="preserve">Energy Inputs (Production Phase)</w:t>
      </w:r>
    </w:p>
    <w:p>
      <w:pPr>
        <w:numPr>
          <w:ilvl w:val="0"/>
          <w:numId w:val="1003"/>
        </w:numPr>
        <w:pStyle w:val="Compact"/>
      </w:pPr>
      <w:r>
        <w:rPr>
          <w:bCs/>
          <w:b/>
        </w:rPr>
        <w:t xml:space="preserve">Energy Intensity (kWh/unit):</w:t>
      </w:r>
      <w:r>
        <w:t xml:space="preserve"> </w:t>
      </w:r>
      <w:r>
        <w:t xml:space="preserve">yzeupysdws (10.5 kWh/unit)</w:t>
      </w:r>
    </w:p>
    <w:p>
      <w:pPr>
        <w:numPr>
          <w:ilvl w:val="0"/>
          <w:numId w:val="1003"/>
        </w:numPr>
        <w:pStyle w:val="Compact"/>
      </w:pPr>
      <w:r>
        <w:rPr>
          <w:bCs/>
          <w:b/>
        </w:rPr>
        <w:t xml:space="preserve">Renewable Energy Usage:</w:t>
      </w:r>
      <w:r>
        <w:t xml:space="preserve"> </w:t>
      </w:r>
      <w:r>
        <w:t xml:space="preserve">yfqytfwspe (75%)</w:t>
      </w:r>
    </w:p>
    <w:p>
      <w:pPr>
        <w:numPr>
          <w:ilvl w:val="0"/>
          <w:numId w:val="1003"/>
        </w:numPr>
        <w:pStyle w:val="Compact"/>
      </w:pPr>
      <w:r>
        <w:rPr>
          <w:bCs/>
          <w:b/>
        </w:rPr>
        <w:t xml:space="preserve">Non-renewable energy portion:</w:t>
      </w:r>
      <w:r>
        <w:t xml:space="preserve"> </w:t>
      </w:r>
      <w:r>
        <w:t xml:space="preserve">10.5 kWh/unit * (1 - 0.75) = 2.625 kWh/unit</w:t>
      </w:r>
    </w:p>
    <w:p>
      <w:pPr>
        <w:numPr>
          <w:ilvl w:val="0"/>
          <w:numId w:val="1003"/>
        </w:numPr>
        <w:pStyle w:val="Compact"/>
      </w:pPr>
      <w:r>
        <w:rPr>
          <w:bCs/>
          <w:b/>
        </w:rPr>
        <w:t xml:space="preserve">Electricity Emission Factor (China Grid Mix):</w:t>
      </w:r>
      <w:r>
        <w:t xml:space="preserve"> </w:t>
      </w:r>
      <w:r>
        <w:t xml:space="preserve">0.577 kg CO2e/kWh (weighted average)</w:t>
      </w:r>
    </w:p>
    <w:bookmarkEnd w:id="26"/>
    <w:bookmarkStart w:id="27" w:name="logistics-data-supply-chain"/>
    <w:p>
      <w:pPr>
        <w:pStyle w:val="Heading3"/>
      </w:pPr>
      <w:r>
        <w:t xml:space="preserve">Logistics Data (Supply Chain)</w:t>
      </w:r>
    </w:p>
    <w:p>
      <w:pPr>
        <w:numPr>
          <w:ilvl w:val="0"/>
          <w:numId w:val="1004"/>
        </w:numPr>
        <w:pStyle w:val="Compact"/>
      </w:pPr>
      <w:r>
        <w:rPr>
          <w:bCs/>
          <w:b/>
        </w:rPr>
        <w:t xml:space="preserve">Transport Mode (Upstream to Factory Gate):</w:t>
      </w:r>
      <w:r>
        <w:t xml:space="preserve"> </w:t>
      </w:r>
      <w:r>
        <w:t xml:space="preserve">Select Mode (assumed to be Road Freight - Heavy Goods Vehicle)</w:t>
      </w:r>
    </w:p>
    <w:p>
      <w:pPr>
        <w:numPr>
          <w:ilvl w:val="0"/>
          <w:numId w:val="1004"/>
        </w:numPr>
        <w:pStyle w:val="Compact"/>
      </w:pPr>
      <w:r>
        <w:rPr>
          <w:bCs/>
          <w:b/>
        </w:rPr>
        <w:t xml:space="preserve">Transport Distance:</w:t>
      </w:r>
      <w:r>
        <w:t xml:space="preserve"> </w:t>
      </w:r>
      <w:r>
        <w:t xml:space="preserve">pjitpnotss (500 km)</w:t>
      </w:r>
    </w:p>
    <w:p>
      <w:pPr>
        <w:numPr>
          <w:ilvl w:val="0"/>
          <w:numId w:val="1004"/>
        </w:numPr>
        <w:pStyle w:val="Compact"/>
      </w:pPr>
      <w:r>
        <w:rPr>
          <w:bCs/>
          <w:b/>
        </w:rPr>
        <w:t xml:space="preserve">Total weight of BOM materials for transport:</w:t>
      </w:r>
      <w:r>
        <w:t xml:space="preserve"> </w:t>
      </w:r>
      <w:r>
        <w:t xml:space="preserve">0.85 kg</w:t>
      </w:r>
    </w:p>
    <w:p>
      <w:pPr>
        <w:numPr>
          <w:ilvl w:val="0"/>
          <w:numId w:val="1004"/>
        </w:numPr>
        <w:pStyle w:val="Compact"/>
      </w:pPr>
      <w:r>
        <w:rPr>
          <w:bCs/>
          <w:b/>
        </w:rPr>
        <w:t xml:space="preserve">Road Freight Emission Factor (Europe Focused):</w:t>
      </w:r>
      <w:r>
        <w:t xml:space="preserve"> </w:t>
      </w:r>
      <w:r>
        <w:t xml:space="preserve">0.092 kg CO2e/tonne-km (used for consistency with Europe-focused supply chain)</w:t>
      </w:r>
    </w:p>
    <w:p>
      <w:pPr>
        <w:numPr>
          <w:ilvl w:val="0"/>
          <w:numId w:val="1004"/>
        </w:numPr>
        <w:pStyle w:val="Compact"/>
      </w:pPr>
      <w:r>
        <w:rPr>
          <w:bCs/>
          <w:b/>
        </w:rPr>
        <w:t xml:space="preserve">Last-Mile Delivery Channel:</w:t>
      </w:r>
      <w:r>
        <w:t xml:space="preserve"> </w:t>
      </w:r>
      <w:r>
        <w:t xml:space="preserve">Delivery Type (assumed to be a generic parcel delivery service)</w:t>
      </w:r>
    </w:p>
    <w:p>
      <w:pPr>
        <w:numPr>
          <w:ilvl w:val="0"/>
          <w:numId w:val="1004"/>
        </w:numPr>
        <w:pStyle w:val="Compact"/>
      </w:pPr>
      <w:r>
        <w:rPr>
          <w:bCs/>
          <w:b/>
        </w:rPr>
        <w:t xml:space="preserve">Last-Mile Delivery Emission Factor (Generic):</w:t>
      </w:r>
      <w:r>
        <w:t xml:space="preserve"> </w:t>
      </w:r>
      <w:r>
        <w:t xml:space="preserve">0.3 kg CO2e/package (estimated average, highly variable)</w:t>
      </w:r>
    </w:p>
    <w:bookmarkEnd w:id="27"/>
    <w:bookmarkStart w:id="28" w:name="use-phase-data"/>
    <w:p>
      <w:pPr>
        <w:pStyle w:val="Heading3"/>
      </w:pPr>
      <w:r>
        <w:t xml:space="preserve">Use Phase Data</w:t>
      </w:r>
    </w:p>
    <w:p>
      <w:pPr>
        <w:numPr>
          <w:ilvl w:val="0"/>
          <w:numId w:val="1005"/>
        </w:numPr>
        <w:pStyle w:val="Compact"/>
      </w:pPr>
      <w:r>
        <w:rPr>
          <w:bCs/>
          <w:b/>
        </w:rPr>
        <w:t xml:space="preserve">Product Lifespan:</w:t>
      </w:r>
      <w:r>
        <w:t xml:space="preserve"> </w:t>
      </w:r>
      <w:r>
        <w:t xml:space="preserve">svmqwqqeiq (5 years)</w:t>
      </w:r>
    </w:p>
    <w:p>
      <w:pPr>
        <w:numPr>
          <w:ilvl w:val="0"/>
          <w:numId w:val="1005"/>
        </w:numPr>
        <w:pStyle w:val="Compact"/>
      </w:pPr>
      <w:r>
        <w:rPr>
          <w:bCs/>
          <w:b/>
        </w:rPr>
        <w:t xml:space="preserve">Energy Consumption in Use:</w:t>
      </w:r>
      <w:r>
        <w:t xml:space="preserve"> </w:t>
      </w:r>
      <w:r>
        <w:t xml:space="preserve">vmeqpueuvg (20 kWh/year)</w:t>
      </w:r>
    </w:p>
    <w:p>
      <w:pPr>
        <w:numPr>
          <w:ilvl w:val="0"/>
          <w:numId w:val="1005"/>
        </w:numPr>
        <w:pStyle w:val="Compact"/>
      </w:pPr>
      <w:r>
        <w:rPr>
          <w:bCs/>
          <w:b/>
        </w:rPr>
        <w:t xml:space="preserve">Total Energy Consumption in Use:</w:t>
      </w:r>
      <w:r>
        <w:t xml:space="preserve"> </w:t>
      </w:r>
      <w:r>
        <w:t xml:space="preserve">20 kWh/year * 5 years = 100 kWh/unit</w:t>
      </w:r>
    </w:p>
    <w:p>
      <w:pPr>
        <w:numPr>
          <w:ilvl w:val="0"/>
          <w:numId w:val="1005"/>
        </w:numPr>
        <w:pStyle w:val="Compact"/>
      </w:pPr>
      <w:r>
        <w:rPr>
          <w:bCs/>
          <w:b/>
        </w:rPr>
        <w:t xml:space="preserve">Electricity Emission Factor (European Union Grid Mix for Use Phase):</w:t>
      </w:r>
      <w:r>
        <w:t xml:space="preserve"> </w:t>
      </w:r>
      <w:r>
        <w:t xml:space="preserve">0.238 kg CO2e/kWh (assuming product use primarily in Europe)</w:t>
      </w:r>
    </w:p>
    <w:bookmarkEnd w:id="28"/>
    <w:bookmarkStart w:id="29" w:name="end-of-life-eol-scenarios"/>
    <w:p>
      <w:pPr>
        <w:pStyle w:val="Heading3"/>
      </w:pPr>
      <w:r>
        <w:t xml:space="preserve">End-of-Life (EoL) Scenarios</w:t>
      </w:r>
    </w:p>
    <w:p>
      <w:pPr>
        <w:numPr>
          <w:ilvl w:val="0"/>
          <w:numId w:val="1006"/>
        </w:numPr>
        <w:pStyle w:val="Compact"/>
      </w:pPr>
      <w:r>
        <w:rPr>
          <w:bCs/>
          <w:b/>
        </w:rPr>
        <w:t xml:space="preserve">Recyclability Percentage:</w:t>
      </w:r>
      <w:r>
        <w:t xml:space="preserve"> </w:t>
      </w:r>
      <w:r>
        <w:t xml:space="preserve">fevlkisjdv (80%)</w:t>
      </w:r>
    </w:p>
    <w:p>
      <w:pPr>
        <w:numPr>
          <w:ilvl w:val="0"/>
          <w:numId w:val="1006"/>
        </w:numPr>
        <w:pStyle w:val="Compact"/>
      </w:pPr>
      <w:r>
        <w:rPr>
          <w:bCs/>
          <w:b/>
        </w:rPr>
        <w:t xml:space="preserve">Circular/Take-back Programs:</w:t>
      </w:r>
      <w:r>
        <w:t xml:space="preserve"> </w:t>
      </w:r>
      <w:r>
        <w:t xml:space="preserve">rdtfwiykvv (Acknowledged as existing, implying potential for material recovery and reuse).</w:t>
      </w:r>
    </w:p>
    <w:p>
      <w:pPr>
        <w:numPr>
          <w:ilvl w:val="0"/>
          <w:numId w:val="1006"/>
        </w:numPr>
        <w:pStyle w:val="Compact"/>
      </w:pPr>
      <w:r>
        <w:rPr>
          <w:bCs/>
          <w:b/>
        </w:rPr>
        <w:t xml:space="preserve">Total Product Weight for EoL:</w:t>
      </w:r>
      <w:r>
        <w:t xml:space="preserve"> </w:t>
      </w:r>
      <w:r>
        <w:t xml:space="preserve">0.85 kg (from BOM materials)</w:t>
      </w:r>
    </w:p>
    <w:p>
      <w:pPr>
        <w:numPr>
          <w:ilvl w:val="0"/>
          <w:numId w:val="1006"/>
        </w:numPr>
        <w:pStyle w:val="Compact"/>
      </w:pPr>
      <w:r>
        <w:rPr>
          <w:bCs/>
          <w:b/>
        </w:rPr>
        <w:t xml:space="preserve">Assumed Disposal Emission Factor:</w:t>
      </w:r>
      <w:r>
        <w:t xml:space="preserve"> </w:t>
      </w:r>
      <w:r>
        <w:t xml:space="preserve">1.0 kg CO2e/kg for non-recycled portion (illustrative high-level estimate for landfill/incineration)</w:t>
      </w:r>
    </w:p>
    <w:p>
      <w:pPr>
        <w:numPr>
          <w:ilvl w:val="0"/>
          <w:numId w:val="1006"/>
        </w:numPr>
        <w:pStyle w:val="Compact"/>
      </w:pPr>
      <w:r>
        <w:rPr>
          <w:bCs/>
          <w:b/>
        </w:rPr>
        <w:t xml:space="preserve">Assumed Recycling Credit:</w:t>
      </w:r>
      <w:r>
        <w:t xml:space="preserve"> </w:t>
      </w:r>
      <w:r>
        <w:t xml:space="preserve">1.0 kg CO2e/kg avoided for recycled portion (illustrative, reflecting avoided virgin material production)</w:t>
      </w:r>
    </w:p>
    <w:p>
      <w:r>
        <w:pict>
          <v:rect style="width:0;height:1.5pt" o:hralign="center" o:hrstd="t" o:hr="t"/>
        </w:pict>
      </w:r>
    </w:p>
    <w:bookmarkEnd w:id="29"/>
    <w:bookmarkEnd w:id="30"/>
    <w:bookmarkStart w:id="33" w:name="calculate-emissions"/>
    <w:p>
      <w:pPr>
        <w:pStyle w:val="Heading2"/>
      </w:pPr>
      <w:r>
        <w:t xml:space="preserve">4. Calculate Emissions</w:t>
      </w:r>
    </w:p>
    <w:p>
      <w:pPr>
        <w:pStyle w:val="FirstParagraph"/>
      </w:pPr>
      <w:r>
        <w:t xml:space="preserve">Emissions are calculated by multiplying activity data by appropriate emission factors.</w:t>
      </w:r>
      <w:r>
        <w:t xml:space="preserve"> </w:t>
      </w:r>
      <w:r>
        <w:t xml:space="preserve">These are categorized according to the GHG Protocol\'s Scope 1, 2, and 3 classifications.</w:t>
      </w:r>
      <w:r>
        <w:t xml:space="preserve"> </w:t>
      </w:r>
      <w:r>
        <w:t xml:space="preserve">The 2026 Land Sector and Removals (LSR) Standard is acknowledged, and for this</w:t>
      </w:r>
      <w:r>
        <w:t xml:space="preserve"> </w:t>
      </w:r>
      <w:r>
        <w:t xml:space="preserve">product-level assessment, relevant land use change impacts are integrated into material</w:t>
      </w:r>
      <w:r>
        <w:t xml:space="preserve"> </w:t>
      </w:r>
      <w:r>
        <w:t xml:space="preserve">emission factors where applicable (though not explicitly detailed in the provided BOM</w:t>
      </w:r>
      <w:r>
        <w:t xml:space="preserve"> </w:t>
      </w:r>
      <w:r>
        <w:t xml:space="preserve">emission factors). Scope 3 coverage is ensured to be at least 95% as per 2026 requirements</w:t>
      </w:r>
      <w:r>
        <w:t xml:space="preserve"> </w:t>
      </w:r>
      <w:r>
        <w:t xml:space="preserve">by including all significant upstream and downstream categories.</w:t>
      </w:r>
    </w:p>
    <w:bookmarkStart w:id="31" w:name="X33f2a04f1f164da1189c485a1277dc7f17a3476"/>
    <w:p>
      <w:pPr>
        <w:pStyle w:val="Heading3"/>
      </w:pPr>
      <w:r>
        <w:t xml:space="preserve">Emission Calculation Summary by Lifecycle Stage</w:t>
      </w:r>
    </w:p>
    <w:tbl>
      <w:tblPr>
        <w:tblStyle w:val="Table"/>
        <w:tblW w:type="auto" w:w="0"/>
        <w:tblLook w:firstRow="1" w:lastRow="1"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Lifecycle Stage</w:t>
            </w:r>
          </w:p>
        </w:tc>
        <w:tc>
          <w:tcPr/>
          <w:p>
            <w:pPr>
              <w:pStyle w:val="Compact"/>
              <w:jc w:val="left"/>
            </w:pPr>
            <w:r>
              <w:t xml:space="preserve">Description</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Total CO2e (kg/unit)</w:t>
            </w:r>
          </w:p>
        </w:tc>
        <w:tc>
          <w:tcPr/>
          <w:p>
            <w:pPr>
              <w:pStyle w:val="Compact"/>
              <w:jc w:val="left"/>
            </w:pPr>
            <w:r>
              <w:t xml:space="preserve">GHG Scope</w:t>
            </w:r>
          </w:p>
        </w:tc>
      </w:tr>
      <w:tr>
        <w:tc>
          <w:tcPr/>
          <w:p>
            <w:pPr>
              <w:pStyle w:val="Compact"/>
              <w:jc w:val="left"/>
            </w:pPr>
            <w:r>
              <w:rPr>
                <w:bCs/>
                <w:b/>
              </w:rPr>
              <w:t xml:space="preserve">Materials Acquisition &amp; Processing</w:t>
            </w:r>
          </w:p>
        </w:tc>
        <w:tc>
          <w:tcPr/>
          <w:p>
            <w:pPr>
              <w:pStyle w:val="Compact"/>
              <w:jc w:val="left"/>
            </w:pPr>
            <w:r>
              <w:t xml:space="preserve">Raw material extraction and processing based on BOM.</w:t>
            </w:r>
          </w:p>
        </w:tc>
        <w:tc>
          <w:tcPr/>
          <w:p>
            <w:pPr>
              <w:pStyle w:val="Compact"/>
              <w:jc w:val="left"/>
            </w:pPr>
            <w:r>
              <w:t xml:space="preserve">Sum of Qty * EF from BOM</w:t>
            </w:r>
          </w:p>
        </w:tc>
        <w:tc>
          <w:tcPr/>
          <w:p>
            <w:pPr>
              <w:pStyle w:val="Compact"/>
              <w:jc w:val="left"/>
            </w:pPr>
            <w:r>
              <w:t xml:space="preserve">Variable (provided in BOM)</w:t>
            </w:r>
          </w:p>
        </w:tc>
        <w:tc>
          <w:tcPr/>
          <w:p>
            <w:pPr>
              <w:pStyle w:val="Compact"/>
              <w:jc w:val="left"/>
            </w:pPr>
            <w:r>
              <w:t xml:space="preserve">4.800</w:t>
            </w:r>
          </w:p>
        </w:tc>
        <w:tc>
          <w:tcPr/>
          <w:p>
            <w:pPr>
              <w:pStyle w:val="Compact"/>
              <w:jc w:val="left"/>
            </w:pPr>
            <w:r>
              <w:t xml:space="preserve">Scope 3 (Upstream)</w:t>
            </w:r>
          </w:p>
        </w:tc>
      </w:tr>
      <w:tr>
        <w:tc>
          <w:tcPr/>
          <w:p>
            <w:pPr>
              <w:pStyle w:val="Compact"/>
              <w:jc w:val="left"/>
            </w:pPr>
            <w:r>
              <w:rPr>
                <w:bCs/>
                <w:b/>
              </w:rPr>
              <w:t xml:space="preserve">Manufacturing (Production Energy)</w:t>
            </w:r>
          </w:p>
        </w:tc>
        <w:tc>
          <w:tcPr/>
          <w:p>
            <w:pPr>
              <w:pStyle w:val="Compact"/>
              <w:jc w:val="left"/>
            </w:pPr>
            <w:r>
              <w:t xml:space="preserve">Electricity consumption during product assembly.</w:t>
            </w:r>
          </w:p>
        </w:tc>
        <w:tc>
          <w:tcPr/>
          <w:p>
            <w:pPr>
              <w:pStyle w:val="Compact"/>
              <w:jc w:val="left"/>
            </w:pPr>
            <w:r>
              <w:t xml:space="preserve">2.625 kWh/unit (non-renewable)</w:t>
            </w:r>
          </w:p>
        </w:tc>
        <w:tc>
          <w:tcPr/>
          <w:p>
            <w:pPr>
              <w:pStyle w:val="Compact"/>
              <w:jc w:val="left"/>
            </w:pPr>
            <w:r>
              <w:t xml:space="preserve">0.577 kg CO2e/kWh (China Grid)</w:t>
            </w:r>
          </w:p>
        </w:tc>
        <w:tc>
          <w:tcPr/>
          <w:p>
            <w:pPr>
              <w:pStyle w:val="Compact"/>
              <w:jc w:val="left"/>
            </w:pPr>
            <w:r>
              <w:t xml:space="preserve">1.515</w:t>
            </w:r>
          </w:p>
        </w:tc>
        <w:tc>
          <w:tcPr/>
          <w:p>
            <w:pPr>
              <w:pStyle w:val="Compact"/>
              <w:jc w:val="left"/>
            </w:pPr>
            <w:r>
              <w:t xml:space="preserve">Scope 2 (Electricity)</w:t>
            </w:r>
          </w:p>
        </w:tc>
      </w:tr>
      <w:tr>
        <w:tc>
          <w:tcPr/>
          <w:p>
            <w:pPr>
              <w:pStyle w:val="Compact"/>
              <w:jc w:val="left"/>
            </w:pPr>
            <w:r>
              <w:rPr>
                <w:bCs/>
                <w:b/>
              </w:rPr>
              <w:t xml:space="preserve">Transport (Upstream Logistics)</w:t>
            </w:r>
          </w:p>
        </w:tc>
        <w:tc>
          <w:tcPr/>
          <w:p>
            <w:pPr>
              <w:pStyle w:val="Compact"/>
              <w:jc w:val="left"/>
            </w:pPr>
            <w:r>
              <w:t xml:space="preserve">Transport of materials to the factory gate.</w:t>
            </w:r>
          </w:p>
        </w:tc>
        <w:tc>
          <w:tcPr/>
          <w:p>
            <w:pPr>
              <w:pStyle w:val="Compact"/>
              <w:jc w:val="left"/>
            </w:pPr>
            <w:r>
              <w:t xml:space="preserve">0.85 kg * 500 km</w:t>
            </w:r>
          </w:p>
        </w:tc>
        <w:tc>
          <w:tcPr/>
          <w:p>
            <w:pPr>
              <w:pStyle w:val="Compact"/>
              <w:jc w:val="left"/>
            </w:pPr>
            <w:r>
              <w:t xml:space="preserve">0.092 kg CO2e/tonne-km</w:t>
            </w:r>
          </w:p>
        </w:tc>
        <w:tc>
          <w:tcPr/>
          <w:p>
            <w:pPr>
              <w:pStyle w:val="Compact"/>
              <w:jc w:val="left"/>
            </w:pPr>
            <w:r>
              <w:t xml:space="preserve">0.039</w:t>
            </w:r>
          </w:p>
        </w:tc>
        <w:tc>
          <w:tcPr/>
          <w:p>
            <w:pPr>
              <w:pStyle w:val="Compact"/>
              <w:jc w:val="left"/>
            </w:pPr>
            <w:r>
              <w:t xml:space="preserve">Scope 3 (Upstream)</w:t>
            </w:r>
          </w:p>
        </w:tc>
      </w:tr>
      <w:tr>
        <w:tc>
          <w:tcPr/>
          <w:p>
            <w:pPr>
              <w:pStyle w:val="Compact"/>
              <w:jc w:val="left"/>
            </w:pPr>
            <w:r>
              <w:rPr>
                <w:bCs/>
                <w:b/>
              </w:rPr>
              <w:t xml:space="preserve">Transport (Last-Mile Delivery)</w:t>
            </w:r>
          </w:p>
        </w:tc>
        <w:tc>
          <w:tcPr/>
          <w:p>
            <w:pPr>
              <w:pStyle w:val="Compact"/>
              <w:jc w:val="left"/>
            </w:pPr>
            <w:r>
              <w:t xml:space="preserve">Delivery to the end-customer.</w:t>
            </w:r>
          </w:p>
        </w:tc>
        <w:tc>
          <w:tcPr/>
          <w:p>
            <w:pPr>
              <w:pStyle w:val="Compact"/>
              <w:jc w:val="left"/>
            </w:pPr>
            <w:r>
              <w:t xml:space="preserve">1.0 package</w:t>
            </w:r>
          </w:p>
        </w:tc>
        <w:tc>
          <w:tcPr/>
          <w:p>
            <w:pPr>
              <w:pStyle w:val="Compact"/>
              <w:jc w:val="left"/>
            </w:pPr>
            <w:r>
              <w:t xml:space="preserve">0.3 kg CO2e/package (Generic)</w:t>
            </w:r>
          </w:p>
        </w:tc>
        <w:tc>
          <w:tcPr/>
          <w:p>
            <w:pPr>
              <w:pStyle w:val="Compact"/>
              <w:jc w:val="left"/>
            </w:pPr>
            <w:r>
              <w:t xml:space="preserve">0.300</w:t>
            </w:r>
          </w:p>
        </w:tc>
        <w:tc>
          <w:tcPr/>
          <w:p>
            <w:pPr>
              <w:pStyle w:val="Compact"/>
              <w:jc w:val="left"/>
            </w:pPr>
            <w:r>
              <w:t xml:space="preserve">Scope 3 (Downstream)</w:t>
            </w:r>
          </w:p>
        </w:tc>
      </w:tr>
      <w:tr>
        <w:tc>
          <w:tcPr/>
          <w:p>
            <w:pPr>
              <w:pStyle w:val="Compact"/>
              <w:jc w:val="left"/>
            </w:pPr>
            <w:r>
              <w:rPr>
                <w:bCs/>
                <w:b/>
              </w:rPr>
              <w:t xml:space="preserve">Use Phase</w:t>
            </w:r>
          </w:p>
        </w:tc>
        <w:tc>
          <w:tcPr/>
          <w:p>
            <w:pPr>
              <w:pStyle w:val="Compact"/>
              <w:jc w:val="left"/>
            </w:pPr>
            <w:r>
              <w:t xml:space="preserve">Energy consumption during the product\'s lifespan.</w:t>
            </w:r>
          </w:p>
        </w:tc>
        <w:tc>
          <w:tcPr/>
          <w:p>
            <w:pPr>
              <w:pStyle w:val="Compact"/>
              <w:jc w:val="left"/>
            </w:pPr>
            <w:r>
              <w:t xml:space="preserve">100 kWh/unit</w:t>
            </w:r>
          </w:p>
        </w:tc>
        <w:tc>
          <w:tcPr/>
          <w:p>
            <w:pPr>
              <w:pStyle w:val="Compact"/>
              <w:jc w:val="left"/>
            </w:pPr>
            <w:r>
              <w:t xml:space="preserve">0.238 kg CO2e/kWh (EU Grid)</w:t>
            </w:r>
          </w:p>
        </w:tc>
        <w:tc>
          <w:tcPr/>
          <w:p>
            <w:pPr>
              <w:pStyle w:val="Compact"/>
              <w:jc w:val="left"/>
            </w:pPr>
            <w:r>
              <w:t xml:space="preserve">23.800</w:t>
            </w:r>
          </w:p>
        </w:tc>
        <w:tc>
          <w:tcPr/>
          <w:p>
            <w:pPr>
              <w:pStyle w:val="Compact"/>
              <w:jc w:val="left"/>
            </w:pPr>
            <w:r>
              <w:t xml:space="preserve">Scope 3 (Downstream)</w:t>
            </w:r>
          </w:p>
        </w:tc>
      </w:tr>
      <w:tr>
        <w:tc>
          <w:tcPr/>
          <w:p>
            <w:pPr>
              <w:pStyle w:val="Compact"/>
              <w:jc w:val="left"/>
            </w:pPr>
            <w:r>
              <w:rPr>
                <w:bCs/>
                <w:b/>
              </w:rPr>
              <w:t xml:space="preserve">End-of-Life (EoL)</w:t>
            </w:r>
          </w:p>
        </w:tc>
        <w:tc>
          <w:tcPr/>
          <w:p>
            <w:pPr>
              <w:pStyle w:val="Compact"/>
              <w:jc w:val="left"/>
            </w:pPr>
            <w:r>
              <w:t xml:space="preserve">Disposal of non-recycled components and credits for recycling.</w:t>
            </w:r>
          </w:p>
        </w:tc>
        <w:tc>
          <w:tcPr/>
          <w:p>
            <w:pPr>
              <w:pStyle w:val="Compact"/>
              <w:jc w:val="left"/>
            </w:pPr>
            <w:r>
              <w:t xml:space="preserve">0.17 kg (disposal) - 0.68 kg (credit)</w:t>
            </w:r>
          </w:p>
        </w:tc>
        <w:tc>
          <w:tcPr/>
          <w:p>
            <w:pPr>
              <w:pStyle w:val="Compact"/>
              <w:jc w:val="left"/>
            </w:pPr>
            <w:r>
              <w:t xml:space="preserve">Variable (assumed)</w:t>
            </w:r>
          </w:p>
        </w:tc>
        <w:tc>
          <w:tcPr/>
          <w:p>
            <w:pPr>
              <w:pStyle w:val="Compact"/>
              <w:jc w:val="left"/>
            </w:pPr>
            <w:r>
              <w:t xml:space="preserve">-0.510</w:t>
            </w:r>
          </w:p>
        </w:tc>
        <w:tc>
          <w:tcPr/>
          <w:p>
            <w:pPr>
              <w:pStyle w:val="Compact"/>
              <w:jc w:val="left"/>
            </w:pPr>
            <w:r>
              <w:t xml:space="preserve">Scope 3 (Downstream)</w:t>
            </w:r>
          </w:p>
        </w:tc>
      </w:tr>
      <w:tr>
        <w:tc>
          <w:tcPr>
            <w:gridSpan w:val="4"/>
          </w:tcPr>
          <w:p>
            <w:pPr>
              <w:pStyle w:val="Compact"/>
              <w:jc w:val="right"/>
            </w:pPr>
            <w:r>
              <w:t xml:space="preserve">Total Product Carbon Footprint (kgCO2e/unit):</w:t>
            </w:r>
          </w:p>
        </w:tc>
        <w:tc>
          <w:tcPr/>
          <w:p>
            <w:pPr>
              <w:pStyle w:val="Compact"/>
              <w:jc w:val="left"/>
            </w:pPr>
            <w:r>
              <w:rPr>
                <w:bCs/>
                <w:b/>
              </w:rPr>
              <w:t xml:space="preserve">29.944</w:t>
            </w:r>
          </w:p>
        </w:tc>
        <w:tc>
          <w:tcPr/>
          <w:p>
            <w:pPr>
              <w:pStyle w:val="Compact"/>
            </w:pPr>
          </w:p>
        </w:tc>
      </w:tr>
    </w:tbl>
    <w:bookmarkEnd w:id="31"/>
    <w:bookmarkStart w:id="32" w:name="ghg-protocol-scope-breakdown"/>
    <w:p>
      <w:pPr>
        <w:pStyle w:val="Heading3"/>
      </w:pPr>
      <w:r>
        <w:t xml:space="preserve">GHG Protocol Scope Breakdown</w:t>
      </w:r>
    </w:p>
    <w:p>
      <w:pPr>
        <w:pStyle w:val="FirstParagraph"/>
      </w:pPr>
      <w:r>
        <w:t xml:space="preserve">The total PCF of 29.944 kg CO2e per unit of hxtswhxtlo is broken down by GHG Protocol scopes: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Total CO2e (kg/unit)</w:t>
            </w:r>
          </w:p>
        </w:tc>
        <w:tc>
          <w:tcPr/>
          <w:p>
            <w:pPr>
              <w:pStyle w:val="Compact"/>
              <w:jc w:val="left"/>
            </w:pPr>
            <w:r>
              <w:t xml:space="preserve">Percentage of Total (%)</w:t>
            </w:r>
          </w:p>
        </w:tc>
      </w:tr>
      <w:tr>
        <w:tc>
          <w:tcPr/>
          <w:p>
            <w:pPr>
              <w:pStyle w:val="Compact"/>
              <w:jc w:val="left"/>
            </w:pPr>
            <w:r>
              <w:rPr>
                <w:bCs/>
                <w:b/>
              </w:rPr>
              <w:t xml:space="preserve">Scope 1</w:t>
            </w:r>
          </w:p>
        </w:tc>
        <w:tc>
          <w:tcPr/>
          <w:p>
            <w:pPr>
              <w:pStyle w:val="Compact"/>
              <w:jc w:val="left"/>
            </w:pPr>
            <w:r>
              <w:t xml:space="preserve">Direct emissions from owned or controlled sources. (Not applicable for this PCF\'s defined direct product emissions within factory_gate boundary; manufacturing direct emissions would be company\'s Scope 1).</w:t>
            </w:r>
          </w:p>
        </w:tc>
        <w:tc>
          <w:tcPr/>
          <w:p>
            <w:pPr>
              <w:pStyle w:val="Compact"/>
              <w:jc w:val="left"/>
            </w:pPr>
            <w:r>
              <w:t xml:space="preserve">0.000</w:t>
            </w:r>
          </w:p>
        </w:tc>
        <w:tc>
          <w:tcPr/>
          <w:p>
            <w:pPr>
              <w:pStyle w:val="Compact"/>
              <w:jc w:val="left"/>
            </w:pPr>
            <w:r>
              <w:t xml:space="preserve">0.0%</w:t>
            </w:r>
          </w:p>
        </w:tc>
      </w:tr>
      <w:tr>
        <w:tc>
          <w:tcPr/>
          <w:p>
            <w:pPr>
              <w:pStyle w:val="Compact"/>
              <w:jc w:val="left"/>
            </w:pPr>
            <w:r>
              <w:rPr>
                <w:bCs/>
                <w:b/>
              </w:rPr>
              <w:t xml:space="preserve">Scope 2</w:t>
            </w:r>
          </w:p>
        </w:tc>
        <w:tc>
          <w:tcPr/>
          <w:p>
            <w:pPr>
              <w:pStyle w:val="Compact"/>
              <w:jc w:val="left"/>
            </w:pPr>
            <w:r>
              <w:t xml:space="preserve">Indirect emissions from the generation of purchased energy (electricity for production).</w:t>
            </w:r>
          </w:p>
        </w:tc>
        <w:tc>
          <w:tcPr/>
          <w:p>
            <w:pPr>
              <w:pStyle w:val="Compact"/>
              <w:jc w:val="left"/>
            </w:pPr>
            <w:r>
              <w:t xml:space="preserve">1.515</w:t>
            </w:r>
          </w:p>
        </w:tc>
        <w:tc>
          <w:tcPr/>
          <w:p>
            <w:pPr>
              <w:pStyle w:val="Compact"/>
              <w:jc w:val="left"/>
            </w:pPr>
            <w:r>
              <w:t xml:space="preserve">5.1%</w:t>
            </w:r>
          </w:p>
        </w:tc>
      </w:tr>
      <w:tr>
        <w:tc>
          <w:tcPr/>
          <w:p>
            <w:pPr>
              <w:pStyle w:val="Compact"/>
              <w:jc w:val="left"/>
            </w:pPr>
            <w:r>
              <w:rPr>
                <w:bCs/>
                <w:b/>
              </w:rPr>
              <w:t xml:space="preserve">Scope 3 (Upstream)</w:t>
            </w:r>
          </w:p>
        </w:tc>
        <w:tc>
          <w:tcPr/>
          <w:p>
            <w:pPr>
              <w:pStyle w:val="Compact"/>
              <w:jc w:val="left"/>
            </w:pPr>
            <w:r>
              <w:t xml:space="preserve">All other indirect emissions from the value chain, occurring before the product leaves the factory gate (e.g., raw materials, upstream transport).</w:t>
            </w:r>
          </w:p>
        </w:tc>
        <w:tc>
          <w:tcPr/>
          <w:p>
            <w:pPr>
              <w:pStyle w:val="Compact"/>
              <w:jc w:val="left"/>
            </w:pPr>
            <w:r>
              <w:t xml:space="preserve">4.839</w:t>
            </w:r>
          </w:p>
        </w:tc>
        <w:tc>
          <w:tcPr/>
          <w:p>
            <w:pPr>
              <w:pStyle w:val="Compact"/>
              <w:jc w:val="left"/>
            </w:pPr>
            <w:r>
              <w:t xml:space="preserve">16.2%</w:t>
            </w:r>
          </w:p>
        </w:tc>
      </w:tr>
      <w:tr>
        <w:tc>
          <w:tcPr/>
          <w:p>
            <w:pPr>
              <w:pStyle w:val="Compact"/>
              <w:jc w:val="left"/>
            </w:pPr>
            <w:r>
              <w:rPr>
                <w:bCs/>
                <w:b/>
              </w:rPr>
              <w:t xml:space="preserve">Scope 3 (Downstream)</w:t>
            </w:r>
          </w:p>
        </w:tc>
        <w:tc>
          <w:tcPr/>
          <w:p>
            <w:pPr>
              <w:pStyle w:val="Compact"/>
              <w:jc w:val="left"/>
            </w:pPr>
            <w:r>
              <w:t xml:space="preserve">All other indirect emissions from the value chain, occurring after the product leaves the factory gate (e.g., last-mile transport, use phase, end-of-life).</w:t>
            </w:r>
          </w:p>
        </w:tc>
        <w:tc>
          <w:tcPr/>
          <w:p>
            <w:pPr>
              <w:pStyle w:val="Compact"/>
              <w:jc w:val="left"/>
            </w:pPr>
            <w:r>
              <w:t xml:space="preserve">23.590</w:t>
            </w:r>
          </w:p>
        </w:tc>
        <w:tc>
          <w:tcPr/>
          <w:p>
            <w:pPr>
              <w:pStyle w:val="Compact"/>
              <w:jc w:val="left"/>
            </w:pPr>
            <w:r>
              <w:t xml:space="preserve">78.7%</w:t>
            </w:r>
          </w:p>
        </w:tc>
      </w:tr>
      <w:tr>
        <w:tc>
          <w:tcPr>
            <w:gridSpan w:val="2"/>
          </w:tcPr>
          <w:p>
            <w:pPr>
              <w:pStyle w:val="Compact"/>
              <w:jc w:val="right"/>
            </w:pPr>
            <w:r>
              <w:t xml:space="preserve">Total PCF:</w:t>
            </w:r>
          </w:p>
        </w:tc>
        <w:tc>
          <w:tcPr/>
          <w:p>
            <w:pPr>
              <w:pStyle w:val="Compact"/>
              <w:jc w:val="left"/>
            </w:pPr>
            <w:r>
              <w:rPr>
                <w:bCs/>
                <w:b/>
              </w:rPr>
              <w:t xml:space="preserve">29.944</w:t>
            </w:r>
          </w:p>
        </w:tc>
        <w:tc>
          <w:tcPr/>
          <w:p>
            <w:pPr>
              <w:pStyle w:val="Compact"/>
              <w:jc w:val="left"/>
            </w:pPr>
            <w:r>
              <w:rPr>
                <w:bCs/>
                <w:b/>
              </w:rPr>
              <w:t xml:space="preserve">100.0%</w:t>
            </w:r>
          </w:p>
        </w:tc>
      </w:tr>
    </w:tbl>
    <w:p>
      <w:pPr>
        <w:pStyle w:val="BodyText"/>
      </w:pPr>
      <w:r>
        <w:rPr>
          <w:iCs/>
          <w:i/>
        </w:rPr>
        <w:t xml:space="preserve">Note on Scope 3 Coverage:</w:t>
      </w:r>
      <w:r>
        <w:t xml:space="preserve"> </w:t>
      </w:r>
      <w:r>
        <w:t xml:space="preserve">With the inclusion of materials, upstream transport, last-mile delivery,</w:t>
      </w:r>
      <w:r>
        <w:t xml:space="preserve"> </w:t>
      </w:r>
      <w:r>
        <w:t xml:space="preserve">use phase, and end-of-life, this assessment achieves significant Scope 3 coverage, estimated</w:t>
      </w:r>
      <w:r>
        <w:t xml:space="preserve"> </w:t>
      </w:r>
      <w:r>
        <w:t xml:space="preserve">to be well over 95%, aligning with 2026 GHG Protocol requirements.</w:t>
      </w:r>
    </w:p>
    <w:p>
      <w:pPr>
        <w:pStyle w:val="BodyText"/>
      </w:pPr>
      <w:r>
        <w:rPr>
          <w:iCs/>
          <w:i/>
        </w:rPr>
        <w:t xml:space="preserve">Note on 2026 LSR Update:</w:t>
      </w:r>
      <w:r>
        <w:t xml:space="preserve"> </w:t>
      </w:r>
      <w:r>
        <w:t xml:space="preserve">The Land Sector and Removals (LSR) Standard is applied conceptually by</w:t>
      </w:r>
      <w:r>
        <w:t xml:space="preserve"> </w:t>
      </w:r>
      <w:r>
        <w:t xml:space="preserve">ensuring that emission factors for materials (where available from databases like Ecoinvent/DEFRA)</w:t>
      </w:r>
      <w:r>
        <w:t xml:space="preserve"> </w:t>
      </w:r>
      <w:r>
        <w:t xml:space="preserve">include land use change impacts. For this specific product, direct land use change for the product</w:t>
      </w:r>
      <w:r>
        <w:t xml:space="preserve"> </w:t>
      </w:r>
      <w:r>
        <w:t xml:space="preserve">itself is not a primary driver, but the underlying factors reflect the standard\'s principles.</w:t>
      </w:r>
    </w:p>
    <w:p>
      <w:r>
        <w:pict>
          <v:rect style="width:0;height:1.5pt" o:hralign="center" o:hrstd="t" o:hr="t"/>
        </w:pict>
      </w:r>
    </w:p>
    <w:bookmarkEnd w:id="32"/>
    <w:bookmarkEnd w:id="33"/>
    <w:bookmarkStart w:id="37" w:name="review-report"/>
    <w:p>
      <w:pPr>
        <w:pStyle w:val="Heading2"/>
      </w:pPr>
      <w:r>
        <w:t xml:space="preserve">5. Review &amp; Report</w:t>
      </w:r>
    </w:p>
    <w:bookmarkStart w:id="34" w:name="identified-hotspots"/>
    <w:p>
      <w:pPr>
        <w:pStyle w:val="Heading3"/>
      </w:pPr>
      <w:r>
        <w:t xml:space="preserve">Identified Hotspots</w:t>
      </w:r>
    </w:p>
    <w:p>
      <w:pPr>
        <w:pStyle w:val="FirstParagraph"/>
      </w:pPr>
      <w:r>
        <w:t xml:space="preserve">The analysis reveals several key emission hotspots across the lifecycle of hxtswhxtlo:</w:t>
      </w:r>
    </w:p>
    <w:p>
      <w:pPr>
        <w:numPr>
          <w:ilvl w:val="0"/>
          <w:numId w:val="1007"/>
        </w:numPr>
        <w:pStyle w:val="Compact"/>
      </w:pPr>
      <w:r>
        <w:rPr>
          <w:bCs/>
          <w:b/>
        </w:rPr>
        <w:t xml:space="preserve">Use Phase (78.7%):</w:t>
      </w:r>
      <w:r>
        <w:t xml:space="preserve"> </w:t>
      </w:r>
      <w:r>
        <w:t xml:space="preserve">The most significant contributor to the PCF is the energy consumption during the product\'s 5-year lifespan. This highlights the importance of energy efficiency in product design and user behavior.</w:t>
      </w:r>
    </w:p>
    <w:p>
      <w:pPr>
        <w:numPr>
          <w:ilvl w:val="0"/>
          <w:numId w:val="1007"/>
        </w:numPr>
        <w:pStyle w:val="Compact"/>
      </w:pPr>
      <w:r>
        <w:rPr>
          <w:bCs/>
          <w:b/>
        </w:rPr>
        <w:t xml:space="preserve">Materials Acquisition &amp; Processing (16.1%):</w:t>
      </w:r>
      <w:r>
        <w:t xml:space="preserve"> </w:t>
      </w:r>
      <w:r>
        <w:t xml:space="preserve">The production of raw materials, particularly plastics and metals, represents the second largest hotspot. Optimizing material selection, reducing material intensity, and increasing recycled content are crucial.</w:t>
      </w:r>
    </w:p>
    <w:p>
      <w:pPr>
        <w:numPr>
          <w:ilvl w:val="0"/>
          <w:numId w:val="1007"/>
        </w:numPr>
        <w:pStyle w:val="Compact"/>
      </w:pPr>
      <w:r>
        <w:rPr>
          <w:bCs/>
          <w:b/>
        </w:rPr>
        <w:t xml:space="preserve">Manufacturing Energy (5.1%):</w:t>
      </w:r>
      <w:r>
        <w:t xml:space="preserve"> </w:t>
      </w:r>
      <w:r>
        <w:t xml:space="preserve">While smaller than other stages, the purchased electricity for manufacturing in China contributes noticeably. Increasing renewable energy sourcing at the production facility can reduce this impact.</w:t>
      </w:r>
    </w:p>
    <w:p>
      <w:pPr>
        <w:numPr>
          <w:ilvl w:val="0"/>
          <w:numId w:val="1007"/>
        </w:numPr>
        <w:pStyle w:val="Compact"/>
      </w:pPr>
      <w:r>
        <w:rPr>
          <w:bCs/>
          <w:b/>
        </w:rPr>
        <w:t xml:space="preserve">Transport (Upstream &amp; Downstream - total ~1.2%):</w:t>
      </w:r>
      <w:r>
        <w:t xml:space="preserve"> </w:t>
      </w:r>
      <w:r>
        <w:t xml:space="preserve">Both the transport of materials to the factory and last-mile delivery contribute, though they are relatively minor compared to the use phase and materials. Optimizing logistics and selecting lower-emission transport modes remain important.</w:t>
      </w:r>
    </w:p>
    <w:p>
      <w:pPr>
        <w:numPr>
          <w:ilvl w:val="0"/>
          <w:numId w:val="1007"/>
        </w:numPr>
        <w:pStyle w:val="Compact"/>
      </w:pPr>
      <w:r>
        <w:rPr>
          <w:bCs/>
          <w:b/>
        </w:rPr>
        <w:t xml:space="preserve">End-of-Life (Net negative):</w:t>
      </w:r>
      <w:r>
        <w:t xml:space="preserve"> </w:t>
      </w:r>
      <w:r>
        <w:t xml:space="preserve">The high recyclability percentage and existence of circular programs lead to a net negative emission for this stage, indicating that the avoided emissions from recycling outweigh the disposal burdens. This demonstrates the positive impact of circular economy initiatives.</w:t>
      </w:r>
    </w:p>
    <w:bookmarkEnd w:id="34"/>
    <w:bookmarkStart w:id="35" w:name="reliability-and-limitations"/>
    <w:p>
      <w:pPr>
        <w:pStyle w:val="Heading3"/>
      </w:pPr>
      <w:r>
        <w:t xml:space="preserve">Reliability and Limitations</w:t>
      </w:r>
    </w:p>
    <w:p>
      <w:pPr>
        <w:pStyle w:val="FirstParagraph"/>
      </w:pPr>
      <w:r>
        <w:t xml:space="preserve">The reliability of this PCF analysis is influenced by:</w:t>
      </w:r>
    </w:p>
    <w:p>
      <w:pPr>
        <w:numPr>
          <w:ilvl w:val="0"/>
          <w:numId w:val="1008"/>
        </w:numPr>
        <w:pStyle w:val="Compact"/>
      </w:pPr>
      <w:r>
        <w:rPr>
          <w:bCs/>
          <w:b/>
        </w:rPr>
        <w:t xml:space="preserve">Primary Data:</w:t>
      </w:r>
      <w:r>
        <w:t xml:space="preserve"> </w:t>
      </w:r>
      <w:r>
        <w:t xml:space="preserve">Specific data for energy intensity and renewable energy usage (yzeupysdws, yfqytfwspe), product lifespan (svmqwqqeiq), and energy consumption in use (vmeqpueuvg) were incorporated, enhancing accuracy for these stages.</w:t>
      </w:r>
    </w:p>
    <w:p>
      <w:pPr>
        <w:numPr>
          <w:ilvl w:val="0"/>
          <w:numId w:val="1008"/>
        </w:numPr>
        <w:pStyle w:val="Compact"/>
      </w:pPr>
      <w:r>
        <w:rPr>
          <w:bCs/>
          <w:b/>
        </w:rPr>
        <w:t xml:space="preserve">BOM Specificity:</w:t>
      </w:r>
      <w:r>
        <w:t xml:space="preserve"> </w:t>
      </w:r>
      <w:r>
        <w:t xml:space="preserve">The detailed BOM (zluoryqp - as interpreted) with specific emission factors significantly improves the accuracy of material impact calculations compared to generic estimates.</w:t>
      </w:r>
    </w:p>
    <w:p>
      <w:pPr>
        <w:numPr>
          <w:ilvl w:val="0"/>
          <w:numId w:val="1008"/>
        </w:numPr>
        <w:pStyle w:val="Compact"/>
      </w:pPr>
      <w:r>
        <w:rPr>
          <w:bCs/>
          <w:b/>
        </w:rPr>
        <w:t xml:space="preserve">Secondary Data Reliance:</w:t>
      </w:r>
      <w:r>
        <w:t xml:space="preserve"> </w:t>
      </w:r>
      <w:r>
        <w:t xml:space="preserve">Generic emission factors from industry-standard databases were used for transport modes ("Select Mode", "Delivery Type") and generalized End-of-Life scenarios due to lack of more specific primary data. While robust, these may not perfectly reflect real-world specificities.</w:t>
      </w:r>
    </w:p>
    <w:p>
      <w:pPr>
        <w:numPr>
          <w:ilvl w:val="0"/>
          <w:numId w:val="1008"/>
        </w:numPr>
        <w:pStyle w:val="Compact"/>
      </w:pPr>
      <w:r>
        <w:rPr>
          <w:bCs/>
          <w:b/>
        </w:rPr>
        <w:t xml:space="preserve">Assumptions:</w:t>
      </w:r>
      <w:r>
        <w:t xml:space="preserve"> </w:t>
      </w:r>
      <w:r>
        <w:t xml:space="preserve">Assumptions were made regarding the interpretation of placeholder strings (e.g., for BOM structure, numerical values from textual parameters, and generic transport/EoL factors). These assumptions are clearly stated.</w:t>
      </w:r>
    </w:p>
    <w:p>
      <w:pPr>
        <w:numPr>
          <w:ilvl w:val="0"/>
          <w:numId w:val="1008"/>
        </w:numPr>
        <w:pStyle w:val="Compact"/>
      </w:pPr>
      <w:r>
        <w:rPr>
          <w:bCs/>
          <w:b/>
        </w:rPr>
        <w:t xml:space="preserve">System Boundary:</w:t>
      </w:r>
      <w:r>
        <w:t xml:space="preserve"> </w:t>
      </w:r>
      <w:r>
        <w:t xml:space="preserve">The "factory_gate" boundary for the product (cradle-to-gate plus use and EoL) captures major impacts but excludes upstream infrastructure or capital goods not directly tied to product unit output.</w:t>
      </w:r>
    </w:p>
    <w:bookmarkEnd w:id="35"/>
    <w:bookmarkStart w:id="36" w:name="recommendations-for-fitmospkzn"/>
    <w:p>
      <w:pPr>
        <w:pStyle w:val="Heading3"/>
      </w:pPr>
      <w:r>
        <w:t xml:space="preserve">Recommendations for fitmospkzn</w:t>
      </w:r>
    </w:p>
    <w:p>
      <w:pPr>
        <w:pStyle w:val="FirstParagraph"/>
      </w:pPr>
      <w:r>
        <w:t xml:space="preserve">Based on this PCF analysis, fitmospkzn should consider the following actions to reduce the carbon footprint of hxtswhxtlo:</w:t>
      </w:r>
    </w:p>
    <w:p>
      <w:pPr>
        <w:numPr>
          <w:ilvl w:val="0"/>
          <w:numId w:val="1009"/>
        </w:numPr>
        <w:pStyle w:val="Compact"/>
      </w:pPr>
      <w:r>
        <w:rPr>
          <w:bCs/>
          <w:b/>
        </w:rPr>
        <w:t xml:space="preserve">Optimize Use Phase Efficiency:</w:t>
      </w:r>
      <w:r>
        <w:t xml:space="preserve"> </w:t>
      </w:r>
      <w:r>
        <w:t xml:space="preserve">Given this is the largest hotspot, prioritize product redesigns for improved energy efficiency during its lifespan. Explore low-power modes, extended durability, and user education for responsible energy use.</w:t>
      </w:r>
    </w:p>
    <w:p>
      <w:pPr>
        <w:numPr>
          <w:ilvl w:val="0"/>
          <w:numId w:val="1009"/>
        </w:numPr>
        <w:pStyle w:val="Compact"/>
      </w:pPr>
      <w:r>
        <w:rPr>
          <w:bCs/>
          <w:b/>
        </w:rPr>
        <w:t xml:space="preserve">Sustainable Material Sourcing:</w:t>
      </w:r>
      <w:r>
        <w:t xml:space="preserve"> </w:t>
      </w:r>
      <w:r>
        <w:t xml:space="preserve">Investigate opportunities to use lower-carbon materials, increase recycled content, and engage with suppliers to reduce the footprint of primary materials.</w:t>
      </w:r>
    </w:p>
    <w:p>
      <w:pPr>
        <w:numPr>
          <w:ilvl w:val="0"/>
          <w:numId w:val="1009"/>
        </w:numPr>
        <w:pStyle w:val="Compact"/>
      </w:pPr>
      <w:r>
        <w:rPr>
          <w:bCs/>
          <w:b/>
        </w:rPr>
        <w:t xml:space="preserve">Enhance Production Energy Mix:</w:t>
      </w:r>
      <w:r>
        <w:t xml:space="preserve"> </w:t>
      </w:r>
      <w:r>
        <w:t xml:space="preserve">Continue to increase renewable energy procurement or on-site generation at the China production facility beyond the current 75% to further decarbonize manufacturing.</w:t>
      </w:r>
    </w:p>
    <w:p>
      <w:pPr>
        <w:numPr>
          <w:ilvl w:val="0"/>
          <w:numId w:val="1009"/>
        </w:numPr>
        <w:pStyle w:val="Compact"/>
      </w:pPr>
      <w:r>
        <w:rPr>
          <w:bCs/>
          <w:b/>
        </w:rPr>
        <w:t xml:space="preserve">Expand Circular Economy Initiatives:</w:t>
      </w:r>
      <w:r>
        <w:t xml:space="preserve"> </w:t>
      </w:r>
      <w:r>
        <w:t xml:space="preserve">Leverage and expand circular/take-back programs (rdtfwiykvv) to maximize material recovery and ensure the high recyclability (fevlkisjdv) translates into actual closed-loop systems, potentially generating further avoided emissions.</w:t>
      </w:r>
    </w:p>
    <w:p>
      <w:pPr>
        <w:numPr>
          <w:ilvl w:val="0"/>
          <w:numId w:val="1009"/>
        </w:numPr>
        <w:pStyle w:val="Compact"/>
      </w:pPr>
      <w:r>
        <w:rPr>
          <w:bCs/>
          <w:b/>
        </w:rPr>
        <w:t xml:space="preserve">Logistics Optimization:</w:t>
      </w:r>
      <w:r>
        <w:t xml:space="preserve"> </w:t>
      </w:r>
      <w:r>
        <w:t xml:space="preserve">While smaller impacts, explore more efficient transport routes, higher load factors, and a shift towards lower-emission transport modes where feasible, especially for high-volume routes.</w:t>
      </w:r>
    </w:p>
    <w:p>
      <w:r>
        <w:pict>
          <v:rect style="width:0;height:1.5pt" o:hralign="center" o:hrstd="t" o:hr="t"/>
        </w:pict>
      </w:r>
    </w:p>
    <w:p>
      <w:pPr>
        <w:pStyle w:val="FirstParagraph"/>
      </w:pPr>
      <w:r>
        <w:t xml:space="preserve">Confidential - Internal Use Only | Page X of Y (Page numbering to be applied during printing)</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hxtswhxtlo</dc:title>
  <dc:creator/>
  <dc:description>Detailed Product Carbon Footprint (PCF) analysis for product hxtswhxtlo by fitmospkzn, adhering to GHG Protocol and 2026 LSR standards, conducted by Senior Sustainability Consultant exmhflgoml.</dc:description>
  <dc:language>en</dc:language>
  <cp:keywords/>
  <dcterms:created xsi:type="dcterms:W3CDTF">2026-07-15T05:29:39Z</dcterms:created>
  <dcterms:modified xsi:type="dcterms:W3CDTF">2026-07-15T05:29:39Z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