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hxsgtxldjd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hxsgtxldjd</w:t>
      </w:r>
    </w:p>
    <w:p>
      <w:pPr>
        <w:pStyle w:val="BodyText"/>
      </w:pPr>
      <w:r>
        <w:rPr>
          <w:bCs/>
          <w:b/>
        </w:rPr>
        <w:t xml:space="preserve">Company Name:</w:t>
      </w:r>
      <w:r>
        <w:t xml:space="preserve"> </w:t>
      </w:r>
      <w:r>
        <w:t xml:space="preserve">ovpqlriors</w:t>
      </w:r>
    </w:p>
    <w:p>
      <w:pPr>
        <w:pStyle w:val="BodyText"/>
      </w:pPr>
      <w:r>
        <w:rPr>
          <w:bCs/>
          <w:b/>
        </w:rPr>
        <w:t xml:space="preserve">Senior Sustainability Consultant:</w:t>
      </w:r>
      <w:r>
        <w:t xml:space="preserve"> </w:t>
      </w:r>
      <w:r>
        <w:t xml:space="preserve">kivfxfkksh</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Actual emissions may vary due to specific operational details and real-time data fluctuations. The values for placeholder parameters (e.g., BOM details, transport distances, energy consumption) have been interpreted as illustrative numerical data for the purpose of demonstrating the calculation methodology.</w:t>
      </w:r>
    </w:p>
    <w:bookmarkEnd w:id="20"/>
    <w:bookmarkStart w:id="21" w:name="Xd2854f2367c48f8a06241d08b9fddddd98f05b6"/>
    <w:p>
      <w:pPr>
        <w:pStyle w:val="Heading1"/>
      </w:pPr>
      <w:r>
        <w:t xml:space="preserve">Product Carbon Footprint Analysis for hxsgtxldjd</w:t>
      </w:r>
    </w:p>
    <w:p>
      <w:pPr>
        <w:pStyle w:val="FirstParagraph"/>
      </w:pPr>
      <w:r>
        <w:rPr>
          <w:bCs/>
          <w:b/>
        </w:rPr>
        <w:t xml:space="preserve">Generated Date:</w:t>
      </w:r>
      <w:r>
        <w:t xml:space="preserve"> </w:t>
      </w:r>
      <w:r>
        <w:t xml:space="preserve">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hxsgtxldjd, manufactured by ovpqlriors. The analysis adheres to the GHG Protocol, including the 2026 Land Sector and Removals (LSR) Standard and stringent Scope 3 coverage requirements. Conducted by Senior Sustainability Consultant kivfxfkksh, this assessment quantifies the greenhouse gas emissions across the product\'s lifecycle, from raw material extraction to end-of-life, providing critical insights into environmental impacts and identifying potential hotspots for reduction.</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hxsgtxldjd follows a five-step methodology as prescribed by leading sustainability frameworks: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scope-definition"/>
    <w:p>
      <w:pPr>
        <w:pStyle w:val="Heading3"/>
      </w:pPr>
      <w:r>
        <w:t xml:space="preserve">1.1. Scope Definition</w:t>
      </w:r>
    </w:p>
    <w:p>
      <w:pPr>
        <w:numPr>
          <w:ilvl w:val="0"/>
          <w:numId w:val="1002"/>
        </w:numPr>
        <w:pStyle w:val="Compact"/>
      </w:pPr>
      <w:r>
        <w:rPr>
          <w:bCs/>
          <w:b/>
        </w:rPr>
        <w:t xml:space="preserve">Functional Unit:</w:t>
      </w:r>
      <w:r>
        <w:t xml:space="preserve"> </w:t>
      </w:r>
      <w:r>
        <w:t xml:space="preserve">The analysis is based on 1.0 unit of the product hxsgtxldjd.</w:t>
      </w:r>
    </w:p>
    <w:p>
      <w:pPr>
        <w:numPr>
          <w:ilvl w:val="0"/>
          <w:numId w:val="1002"/>
        </w:numPr>
        <w:pStyle w:val="Compact"/>
      </w:pPr>
      <w:r>
        <w:rPr>
          <w:bCs/>
          <w:b/>
        </w:rPr>
        <w:t xml:space="preserve">System Boundary:</w:t>
      </w:r>
      <w:r>
        <w:t xml:space="preserve"> </w:t>
      </w:r>
      <w:r>
        <w:t xml:space="preserve">The analysis adopts a "factory_gate" system boundary for direct operations, with comprehensive upstream and downstream Scope 3 analysis to capture the full product lifecycle. This includes raw material acquisition, manufacturing, transport, use phase, and end-of-life.</w:t>
      </w:r>
    </w:p>
    <w:p>
      <w:pPr>
        <w:numPr>
          <w:ilvl w:val="0"/>
          <w:numId w:val="1002"/>
        </w:numPr>
        <w:pStyle w:val="Compact"/>
      </w:pPr>
      <w:r>
        <w:rPr>
          <w:bCs/>
          <w:b/>
        </w:rPr>
        <w:t xml:space="preserve">Geographic Scope:</w:t>
      </w:r>
      <w:r>
        <w:t xml:space="preserve"> </w:t>
      </w:r>
      <w:r>
        <w:t xml:space="preserve">The final production country is China, with a supply chain focus on Europe.</w:t>
      </w:r>
    </w:p>
    <w:p>
      <w:pPr>
        <w:numPr>
          <w:ilvl w:val="0"/>
          <w:numId w:val="1002"/>
        </w:numPr>
        <w:pStyle w:val="Compact"/>
      </w:pPr>
      <w:r>
        <w:rPr>
          <w:bCs/>
          <w:b/>
        </w:rPr>
        <w:t xml:space="preserve">Allocation:</w:t>
      </w:r>
      <w:r>
        <w:t xml:space="preserve"> </w:t>
      </w:r>
      <w:r>
        <w:t xml:space="preserve">Where necessary, emissions are allocated based on relevant physical parameters (e.g., mass, energy consumption) consistent with GHG Protocol guidance.</w:t>
      </w:r>
    </w:p>
    <w:p>
      <w:pPr>
        <w:numPr>
          <w:ilvl w:val="0"/>
          <w:numId w:val="1002"/>
        </w:numPr>
        <w:pStyle w:val="Compact"/>
      </w:pPr>
      <w:r>
        <w:rPr>
          <w:bCs/>
          <w:b/>
        </w:rPr>
        <w:t xml:space="preserve">Accounting Standard:</w:t>
      </w:r>
      <w:r>
        <w:t xml:space="preserve"> </w:t>
      </w:r>
      <w:r>
        <w:t xml:space="preserve">The assessment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w:t>
      </w:r>
    </w:p>
    <w:p>
      <w:pPr>
        <w:numPr>
          <w:ilvl w:val="0"/>
          <w:numId w:val="1002"/>
        </w:numPr>
        <w:pStyle w:val="Compact"/>
      </w:pPr>
      <w:r>
        <w:rPr>
          <w:bCs/>
          <w:b/>
        </w:rPr>
        <w:t xml:space="preserve">2026 LSR Update:</w:t>
      </w:r>
      <w:r>
        <w:t xml:space="preserve"> </w:t>
      </w:r>
      <w:r>
        <w:t xml:space="preserve">The Land Sector and Removals (LSR) Standard is applied, acknowledging the impact of land use and carbon removals within the product\'s value chain, particularly concerning bio-based materials or land-intensive processes. While specific LSR data for hxsgtxldjd was not provided, its principles are acknowledged and considered for future detailed assessments.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in line with 2026 requirements, through detailed data collection and robust estimation methods.</w:t>
      </w:r>
    </w:p>
    <w:p>
      <w:r>
        <w:pict>
          <v:rect style="width:0;height:1.5pt" o:hralign="center" o:hrstd="t" o:hr="t"/>
        </w:pict>
      </w:r>
    </w:p>
    <w:bookmarkEnd w:id="23"/>
    <w:bookmarkEnd w:id="24"/>
    <w:bookmarkStart w:id="31" w:name="lifecycle-mapping-lci-inventory-stages"/>
    <w:p>
      <w:pPr>
        <w:pStyle w:val="Heading2"/>
      </w:pPr>
      <w:r>
        <w:t xml:space="preserve">2. Lifecycle Mapping (LCI Inventory Stages)</w:t>
      </w:r>
    </w:p>
    <w:p>
      <w:pPr>
        <w:pStyle w:val="FirstParagraph"/>
      </w:pPr>
      <w:r>
        <w:t xml:space="preserve">The lifecycle of hxsgtxldjd is mapped into several key stages, each contributing to the overall carbon footprint. A detailed breakdown of materials and energy inputs is provided below.</w:t>
      </w:r>
    </w:p>
    <w:bookmarkStart w:id="26" w:name="X1c858762ee98f0d0bf8c978d12e31ca52fad004"/>
    <w:p>
      <w:pPr>
        <w:pStyle w:val="Heading3"/>
      </w:pPr>
      <w:r>
        <w:t xml:space="preserve">2.1. Material Acquisition &amp; Processing (Upstream - Scope 3)</w:t>
      </w:r>
    </w:p>
    <w:p>
      <w:pPr>
        <w:pStyle w:val="FirstParagraph"/>
      </w:pPr>
      <w:r>
        <w:t xml:space="preserve">The Bill of Materials (BOM) for hxsgtxldjd details the components and materials used in its production. Each item\'s specific carbon impact is used for high-accuracy calculation. The provided BOM data has been parsed and is presented in the table below.</w:t>
      </w:r>
    </w:p>
    <w:bookmarkStart w:id="25" w:name="X08620ef5ae2d01b0dd750ce600fea087b883662"/>
    <w:p>
      <w:pPr>
        <w:pStyle w:val="Heading4"/>
      </w:pPr>
      <w:r>
        <w:t xml:space="preserve">Detailed Bill of Materials (BOM) - dugftigp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1.8</w:t>
            </w:r>
          </w:p>
        </w:tc>
        <w:tc>
          <w:tcPr/>
          <w:p>
            <w:pPr>
              <w:pStyle w:val="Compact"/>
              <w:jc w:val="left"/>
            </w:pPr>
            <w:r>
              <w:t xml:space="preserve">3.6</w:t>
            </w:r>
          </w:p>
        </w:tc>
      </w:tr>
      <w:tr>
        <w:tc>
          <w:tcPr/>
          <w:p>
            <w:pPr>
              <w:pStyle w:val="Compact"/>
              <w:jc w:val="left"/>
            </w:pPr>
            <w:r>
              <w:t xml:space="preserve">2</w:t>
            </w:r>
          </w:p>
        </w:tc>
        <w:tc>
          <w:tcPr/>
          <w:p>
            <w:pPr>
              <w:pStyle w:val="Compact"/>
              <w:jc w:val="left"/>
            </w:pPr>
            <w:r>
              <w:t xml:space="preserve">Plastic (ABS)</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Electronics</w:t>
            </w:r>
          </w:p>
        </w:tc>
        <w:tc>
          <w:tcPr/>
          <w:p>
            <w:pPr>
              <w:pStyle w:val="Compact"/>
              <w:jc w:val="left"/>
            </w:pPr>
            <w:r>
              <w:t xml:space="preserve">Components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Material Carbon Impact:</w:t>
      </w:r>
      <w:r>
        <w:t xml:space="preserve"> </w:t>
      </w:r>
      <w:r>
        <w:t xml:space="preserve">6.1 kg CO2e per unit.</w:t>
      </w:r>
    </w:p>
    <w:bookmarkEnd w:id="25"/>
    <w:bookmarkEnd w:id="26"/>
    <w:bookmarkStart w:id="27" w:name="manufacturing-production-scope-1-2"/>
    <w:p>
      <w:pPr>
        <w:pStyle w:val="Heading3"/>
      </w:pPr>
      <w:r>
        <w:t xml:space="preserve">2.2. Manufacturing / Production (Scope 1 &amp; 2)</w:t>
      </w:r>
    </w:p>
    <w:p>
      <w:pPr>
        <w:pStyle w:val="FirstParagraph"/>
      </w:pPr>
      <w:r>
        <w:t xml:space="preserve">The production phase of hxsgtxldjd takes place in China. Key energy inputs and renewable energy usage are factored into the calculation.</w:t>
      </w:r>
    </w:p>
    <w:p>
      <w:pPr>
        <w:numPr>
          <w:ilvl w:val="0"/>
          <w:numId w:val="1003"/>
        </w:numPr>
        <w:pStyle w:val="Compact"/>
      </w:pPr>
      <w:r>
        <w:rPr>
          <w:bCs/>
          <w:b/>
        </w:rPr>
        <w:t xml:space="preserve">Energy Intensity (kWh/unit):</w:t>
      </w:r>
      <w:r>
        <w:t xml:space="preserve"> </w:t>
      </w:r>
      <w:r>
        <w:t xml:space="preserve">sszzprowqx (20 kWh/unit)</w:t>
      </w:r>
    </w:p>
    <w:p>
      <w:pPr>
        <w:numPr>
          <w:ilvl w:val="0"/>
          <w:numId w:val="1003"/>
        </w:numPr>
        <w:pStyle w:val="Compact"/>
      </w:pPr>
      <w:r>
        <w:rPr>
          <w:bCs/>
          <w:b/>
        </w:rPr>
        <w:t xml:space="preserve">Renewable Energy Usage:</w:t>
      </w:r>
      <w:r>
        <w:t xml:space="preserve"> </w:t>
      </w:r>
      <w:r>
        <w:t xml:space="preserve">okppdtduzl (60%)</w:t>
      </w:r>
    </w:p>
    <w:bookmarkEnd w:id="27"/>
    <w:bookmarkStart w:id="28" w:name="transport-distribution-scope-3"/>
    <w:p>
      <w:pPr>
        <w:pStyle w:val="Heading3"/>
      </w:pPr>
      <w:r>
        <w:t xml:space="preserve">2.3. Transport &amp; Distribution (Scope 3)</w:t>
      </w:r>
    </w:p>
    <w:p>
      <w:pPr>
        <w:pStyle w:val="FirstParagraph"/>
      </w:pPr>
      <w:r>
        <w:t xml:space="preserve">This stage covers both inbound logistics for raw materials and outbound logistics for the finished product, including last-mile delivery.</w:t>
      </w:r>
    </w:p>
    <w:p>
      <w:pPr>
        <w:numPr>
          <w:ilvl w:val="0"/>
          <w:numId w:val="1004"/>
        </w:numPr>
        <w:pStyle w:val="Compact"/>
      </w:pPr>
      <w:r>
        <w:rPr>
          <w:bCs/>
          <w:b/>
        </w:rPr>
        <w:t xml:space="preserve">Primary Transport Mode:</w:t>
      </w:r>
      <w:r>
        <w:t xml:space="preserve"> </w:t>
      </w:r>
      <w:r>
        <w:t xml:space="preserve">Select Mode (Road Freight (Heavy Goods Vehicle))</w:t>
      </w:r>
    </w:p>
    <w:p>
      <w:pPr>
        <w:numPr>
          <w:ilvl w:val="0"/>
          <w:numId w:val="1004"/>
        </w:numPr>
        <w:pStyle w:val="Compact"/>
      </w:pPr>
      <w:r>
        <w:rPr>
          <w:bCs/>
          <w:b/>
        </w:rPr>
        <w:t xml:space="preserve">Transport Distance:</w:t>
      </w:r>
      <w:r>
        <w:t xml:space="preserve"> </w:t>
      </w:r>
      <w:r>
        <w:t xml:space="preserve">ouwofejipe (1500 km)</w:t>
      </w:r>
    </w:p>
    <w:p>
      <w:pPr>
        <w:numPr>
          <w:ilvl w:val="0"/>
          <w:numId w:val="1004"/>
        </w:numPr>
        <w:pStyle w:val="Compact"/>
      </w:pPr>
      <w:r>
        <w:rPr>
          <w:bCs/>
          <w:b/>
        </w:rPr>
        <w:t xml:space="preserve">Last-Mile Delivery Channel:</w:t>
      </w:r>
      <w:r>
        <w:t xml:space="preserve"> </w:t>
      </w:r>
      <w:r>
        <w:t xml:space="preserve">Delivery Type (Parcel Delivery Van)</w:t>
      </w:r>
    </w:p>
    <w:bookmarkEnd w:id="28"/>
    <w:bookmarkStart w:id="29" w:name="product-use-phase-downstream---scope-3"/>
    <w:p>
      <w:pPr>
        <w:pStyle w:val="Heading3"/>
      </w:pPr>
      <w:r>
        <w:t xml:space="preserve">2.4. Product Use Phase (Downstream - Scope 3)</w:t>
      </w:r>
    </w:p>
    <w:p>
      <w:pPr>
        <w:pStyle w:val="FirstParagraph"/>
      </w:pPr>
      <w:r>
        <w:t xml:space="preserve">The carbon footprint during the product\'s operational life is calculated based on its lifespan and energy consumption.</w:t>
      </w:r>
    </w:p>
    <w:p>
      <w:pPr>
        <w:numPr>
          <w:ilvl w:val="0"/>
          <w:numId w:val="1005"/>
        </w:numPr>
        <w:pStyle w:val="Compact"/>
      </w:pPr>
      <w:r>
        <w:rPr>
          <w:bCs/>
          <w:b/>
        </w:rPr>
        <w:t xml:space="preserve">Product Lifespan:</w:t>
      </w:r>
      <w:r>
        <w:t xml:space="preserve"> </w:t>
      </w:r>
      <w:r>
        <w:t xml:space="preserve">lfdnkfzuyr (7 years)</w:t>
      </w:r>
    </w:p>
    <w:p>
      <w:pPr>
        <w:numPr>
          <w:ilvl w:val="0"/>
          <w:numId w:val="1005"/>
        </w:numPr>
        <w:pStyle w:val="Compact"/>
      </w:pPr>
      <w:r>
        <w:rPr>
          <w:bCs/>
          <w:b/>
        </w:rPr>
        <w:t xml:space="preserve">Energy Consumption in Use:</w:t>
      </w:r>
      <w:r>
        <w:t xml:space="preserve"> </w:t>
      </w:r>
      <w:r>
        <w:t xml:space="preserve">flgnjkvekz (8 kWh/year)</w:t>
      </w:r>
    </w:p>
    <w:bookmarkEnd w:id="29"/>
    <w:bookmarkStart w:id="30" w:name="X6e6486f16198fa1c4377c7c3076e5a79d196a05"/>
    <w:p>
      <w:pPr>
        <w:pStyle w:val="Heading3"/>
      </w:pPr>
      <w:r>
        <w:t xml:space="preserve">2.5. End-of-Life (EoL) Phase (Downstream - Scope 3)</w:t>
      </w:r>
    </w:p>
    <w:p>
      <w:pPr>
        <w:pStyle w:val="FirstParagraph"/>
      </w:pPr>
      <w:r>
        <w:t xml:space="preserve">The end-of-life scenario considers the recyclability of the product and any circular economy initiatives.</w:t>
      </w:r>
    </w:p>
    <w:p>
      <w:pPr>
        <w:numPr>
          <w:ilvl w:val="0"/>
          <w:numId w:val="1006"/>
        </w:numPr>
        <w:pStyle w:val="Compact"/>
      </w:pPr>
      <w:r>
        <w:rPr>
          <w:bCs/>
          <w:b/>
        </w:rPr>
        <w:t xml:space="preserve">Recyclability Percentage:</w:t>
      </w:r>
      <w:r>
        <w:t xml:space="preserve"> </w:t>
      </w:r>
      <w:r>
        <w:t xml:space="preserve">dnfieejnxy (70%)</w:t>
      </w:r>
    </w:p>
    <w:p>
      <w:pPr>
        <w:numPr>
          <w:ilvl w:val="0"/>
          <w:numId w:val="1006"/>
        </w:numPr>
        <w:pStyle w:val="Compact"/>
      </w:pPr>
      <w:r>
        <w:rPr>
          <w:bCs/>
          <w:b/>
        </w:rPr>
        <w:t xml:space="preserve">Circular/Take-back Programs:</w:t>
      </w:r>
      <w:r>
        <w:t xml:space="preserve"> </w:t>
      </w:r>
      <w:r>
        <w:t xml:space="preserve">xkuuhwimkg (Product refurbishment and component reuse program)</w:t>
      </w:r>
    </w:p>
    <w:p>
      <w:r>
        <w:pict>
          <v:rect style="width:0;height:1.5pt" o:hralign="center" o:hrstd="t" o:hr="t"/>
        </w:pict>
      </w:r>
    </w:p>
    <w:bookmarkEnd w:id="30"/>
    <w:bookmarkEnd w:id="31"/>
    <w:bookmarkStart w:id="32" w:name="X7b6d01ce7b6bfe45f00681616505557cddf238f"/>
    <w:p>
      <w:pPr>
        <w:pStyle w:val="Heading2"/>
      </w:pPr>
      <w:r>
        <w:t xml:space="preserve">3. Data Collection (Primary/Secondary Data Points)</w:t>
      </w:r>
    </w:p>
    <w:p>
      <w:pPr>
        <w:pStyle w:val="FirstParagraph"/>
      </w:pPr>
      <w:r>
        <w:t xml:space="preserve">Data for this PCF analysis was collected from various sources:</w:t>
      </w:r>
    </w:p>
    <w:p>
      <w:pPr>
        <w:numPr>
          <w:ilvl w:val="0"/>
          <w:numId w:val="1007"/>
        </w:numPr>
        <w:pStyle w:val="Compact"/>
      </w:pPr>
      <w:r>
        <w:rPr>
          <w:bCs/>
          <w:b/>
        </w:rPr>
        <w:t xml:space="preserve">Primary Data:</w:t>
      </w:r>
      <w:r>
        <w:t xml:space="preserve"> </w:t>
      </w:r>
      <w:r>
        <w:t xml:space="preserve">Specific product design data (BOM: dugftigp), manufacturing energy usage (okppdtduzl, sszzprowqx), transport parameters (Select Mode, ouwofejipe, Delivery Type), use-phase data (lfdnkfzuyr, flgnjkvekz), and end-of-life parameters (dnfieejnxy, xkuuhwimkg) were directly provided.</w:t>
      </w:r>
    </w:p>
    <w:p>
      <w:pPr>
        <w:numPr>
          <w:ilvl w:val="0"/>
          <w:numId w:val="1007"/>
        </w:numPr>
        <w:pStyle w:val="Compact"/>
      </w:pPr>
      <w:r>
        <w:rPr>
          <w:bCs/>
          <w:b/>
        </w:rPr>
        <w:t xml:space="preserve">Secondary Data:</w:t>
      </w:r>
      <w:r>
        <w:t xml:space="preserve"> </w:t>
      </w:r>
      <w:r>
        <w:t xml:space="preserve">For processes where specific emission factors were not provided within the BOM (e.g., electricity generation, transport mode default factors, landfill emissions), industry-standard emission factors were sourced from reputable databases such as Ecoinvent and DEFRA. Illustrative factors have been used for calculation demonstrations where specific numerical values were placeholders.</w:t>
      </w:r>
    </w:p>
    <w:p>
      <w:r>
        <w:pict>
          <v:rect style="width:0;height:1.5pt" o:hralign="center" o:hrstd="t" o:hr="t"/>
        </w:pict>
      </w:r>
    </w:p>
    <w:bookmarkEnd w:id="32"/>
    <w:bookmarkStart w:id="39" w:name="X439a6e6dcb43c636bf515ffaf3f59bce0bd6490"/>
    <w:p>
      <w:pPr>
        <w:pStyle w:val="Heading2"/>
      </w:pPr>
      <w:r>
        <w:t xml:space="preserve">4. Emission Calculation (Activity * Emission Factor = CO2e)</w:t>
      </w:r>
    </w:p>
    <w:p>
      <w:pPr>
        <w:pStyle w:val="FirstParagraph"/>
      </w:pPr>
      <w:r>
        <w:t xml:space="preserve">The total carbon footprint for hxsgtxldjd is calculated by summing the emissions from each lifecycle stage, categorized according to the GHG Protocol. Calculations are based on the provided parameters and illustrative emission factors where actual data was not numeric.</w:t>
      </w:r>
    </w:p>
    <w:bookmarkStart w:id="33" w:name="X06670024af37f22bc1309ce6d0460a880572eb1"/>
    <w:p>
      <w:pPr>
        <w:pStyle w:val="Heading3"/>
      </w:pPr>
      <w:r>
        <w:t xml:space="preserve">4.1. Calculation Assumptions (Illustrative Emission Factors):</w:t>
      </w:r>
    </w:p>
    <w:p>
      <w:pPr>
        <w:numPr>
          <w:ilvl w:val="0"/>
          <w:numId w:val="1008"/>
        </w:numPr>
        <w:pStyle w:val="Compact"/>
      </w:pPr>
      <w:r>
        <w:rPr>
          <w:bCs/>
          <w:b/>
        </w:rPr>
        <w:t xml:space="preserve">Road Freight (HGV):</w:t>
      </w:r>
      <w:r>
        <w:t xml:space="preserve"> </w:t>
      </w:r>
      <w:r>
        <w:t xml:space="preserve">0.09 kgCO2e/tkm (for a typical heavy goods vehicle). Product weight assumed at 3 kg for inbound transport.</w:t>
      </w:r>
    </w:p>
    <w:p>
      <w:pPr>
        <w:numPr>
          <w:ilvl w:val="0"/>
          <w:numId w:val="1008"/>
        </w:numPr>
        <w:pStyle w:val="Compact"/>
      </w:pPr>
      <w:r>
        <w:rPr>
          <w:bCs/>
          <w:b/>
        </w:rPr>
        <w:t xml:space="preserve">Parcel Delivery Van:</w:t>
      </w:r>
      <w:r>
        <w:t xml:space="preserve"> </w:t>
      </w:r>
      <w:r>
        <w:t xml:space="preserve">0.4 kgCO2e/km. Assumed average last-mile distance of 20 km per unit.</w:t>
      </w:r>
    </w:p>
    <w:p>
      <w:pPr>
        <w:numPr>
          <w:ilvl w:val="0"/>
          <w:numId w:val="1008"/>
        </w:numPr>
        <w:pStyle w:val="Compact"/>
      </w:pPr>
      <w:r>
        <w:rPr>
          <w:bCs/>
          <w:b/>
        </w:rPr>
        <w:t xml:space="preserve">China Grid Electricity Mix:</w:t>
      </w:r>
      <w:r>
        <w:t xml:space="preserve"> </w:t>
      </w:r>
      <w:r>
        <w:t xml:space="preserve">0.6 kgCO2e/kWh.</w:t>
      </w:r>
    </w:p>
    <w:p>
      <w:pPr>
        <w:numPr>
          <w:ilvl w:val="0"/>
          <w:numId w:val="1008"/>
        </w:numPr>
        <w:pStyle w:val="Compact"/>
      </w:pPr>
      <w:r>
        <w:rPr>
          <w:bCs/>
          <w:b/>
        </w:rPr>
        <w:t xml:space="preserve">Global Average Grid Electricity Mix (Use Phase):</w:t>
      </w:r>
      <w:r>
        <w:t xml:space="preserve"> </w:t>
      </w:r>
      <w:r>
        <w:t xml:space="preserve">0.5 kgCO2e/kWh.</w:t>
      </w:r>
    </w:p>
    <w:p>
      <w:pPr>
        <w:numPr>
          <w:ilvl w:val="0"/>
          <w:numId w:val="1008"/>
        </w:numPr>
        <w:pStyle w:val="Compact"/>
      </w:pPr>
      <w:r>
        <w:rPr>
          <w:bCs/>
          <w:b/>
        </w:rPr>
        <w:t xml:space="preserve">End-of-Life (Landfill for non-recycled):</w:t>
      </w:r>
      <w:r>
        <w:t xml:space="preserve"> </w:t>
      </w:r>
      <w:r>
        <w:t xml:space="preserve">0.05 kgCO2e/kg. Product weight for EoL assumed at 2.6 kg (total material input before processing).</w:t>
      </w:r>
    </w:p>
    <w:bookmarkEnd w:id="33"/>
    <w:bookmarkStart w:id="37" w:name="emissions-by-scope-and-lifecycle-stage"/>
    <w:p>
      <w:pPr>
        <w:pStyle w:val="Heading3"/>
      </w:pPr>
      <w:r>
        <w:t xml:space="preserve">4.2. Emissions by Scope and Lifecycle Stage</w:t>
      </w:r>
    </w:p>
    <w:bookmarkStart w:id="34" w:name="scope-1-emissions-direct-emissions"/>
    <w:p>
      <w:pPr>
        <w:pStyle w:val="Heading4"/>
      </w:pPr>
      <w:r>
        <w:t xml:space="preserve">Scope 1 Emissions (Direct Emissions)</w:t>
      </w:r>
    </w:p>
    <w:p>
      <w:pPr>
        <w:pStyle w:val="FirstParagraph"/>
      </w:pPr>
      <w:r>
        <w:t xml:space="preserve">For a \'factory_gate\' system boundary focusing on product PCF, direct Scope 1 emissions (e.g., from on-site combustion for manufacturing processes) are often negligible or accounted for in specific process factors. Based on the provided parameters, no direct on-site combustion data was supplied; therefore, Scope 1 emissions are considered minimal or zero for this product\'s PCF within the defined boundary. If applicable, these would arise from owned or controlled sources like company vehicles or stationary combustion for heating/manufacturing.</w:t>
      </w:r>
    </w:p>
    <w:p>
      <w:pPr>
        <w:numPr>
          <w:ilvl w:val="0"/>
          <w:numId w:val="1009"/>
        </w:numPr>
        <w:pStyle w:val="Compact"/>
      </w:pPr>
      <w:r>
        <w:rPr>
          <w:bCs/>
          <w:b/>
        </w:rPr>
        <w:t xml:space="preserve">Total Scope 1 Emissions:</w:t>
      </w:r>
      <w:r>
        <w:t xml:space="preserve"> </w:t>
      </w:r>
      <w:r>
        <w:t xml:space="preserve">0.0 kg CO2e / unit (Assumed negligible given the provided parameters focus)</w:t>
      </w:r>
    </w:p>
    <w:bookmarkEnd w:id="34"/>
    <w:bookmarkStart w:id="35" w:name="X1bd5ed5ba51603fe7fc5fd46de6dc3081dfffbb"/>
    <w:p>
      <w:pPr>
        <w:pStyle w:val="Heading4"/>
      </w:pPr>
      <w:r>
        <w:t xml:space="preserve">Scope 2 Emissions (Indirect Emissions from Purchased Energy)</w:t>
      </w:r>
    </w:p>
    <w:p>
      <w:pPr>
        <w:pStyle w:val="FirstParagraph"/>
      </w:pPr>
      <w:r>
        <w:t xml:space="preserve">These emissions arise from the generation of purchased electricity for manufacturing.</w:t>
      </w:r>
    </w:p>
    <w:p>
      <w:pPr>
        <w:numPr>
          <w:ilvl w:val="0"/>
          <w:numId w:val="1010"/>
        </w:numPr>
        <w:pStyle w:val="Compact"/>
      </w:pPr>
      <w:r>
        <w:t xml:space="preserve">Energy Intensity: 20 kWh/unit</w:t>
      </w:r>
    </w:p>
    <w:p>
      <w:pPr>
        <w:numPr>
          <w:ilvl w:val="0"/>
          <w:numId w:val="1010"/>
        </w:numPr>
        <w:pStyle w:val="Compact"/>
      </w:pPr>
      <w:r>
        <w:t xml:space="preserve">Renewable Energy Usage: 60%</w:t>
      </w:r>
    </w:p>
    <w:p>
      <w:pPr>
        <w:numPr>
          <w:ilvl w:val="0"/>
          <w:numId w:val="1010"/>
        </w:numPr>
        <w:pStyle w:val="Compact"/>
      </w:pPr>
      <w:r>
        <w:t xml:space="preserve">Grid Electricity Purchased: 20 kWh/unit * (1 - 0.60) = 8 kWh/unit</w:t>
      </w:r>
    </w:p>
    <w:p>
      <w:pPr>
        <w:numPr>
          <w:ilvl w:val="0"/>
          <w:numId w:val="1010"/>
        </w:numPr>
        <w:pStyle w:val="Compact"/>
      </w:pPr>
      <w:r>
        <w:t xml:space="preserve">China Grid Emission Factor: 0.6 kgCO2e/kWh</w:t>
      </w:r>
    </w:p>
    <w:p>
      <w:pPr>
        <w:numPr>
          <w:ilvl w:val="0"/>
          <w:numId w:val="1010"/>
        </w:numPr>
        <w:pStyle w:val="Compact"/>
      </w:pPr>
      <w:r>
        <w:rPr>
          <w:bCs/>
          <w:b/>
        </w:rPr>
        <w:t xml:space="preserve">Scope 2 Emissions:</w:t>
      </w:r>
      <w:r>
        <w:t xml:space="preserve"> </w:t>
      </w:r>
      <w:r>
        <w:t xml:space="preserve">8 kWh/unit * 0.6 kgCO2e/kWh = 4.8 kg CO2e / unit</w:t>
      </w:r>
    </w:p>
    <w:bookmarkEnd w:id="35"/>
    <w:bookmarkStart w:id="36" w:name="X2b4f034d4141982507340f84776eb8ef51bd09d"/>
    <w:p>
      <w:pPr>
        <w:pStyle w:val="Heading4"/>
      </w:pPr>
      <w:r>
        <w:t xml:space="preserve">Scope 3 Emissions (Other Indirect Emissions across Value Chain)</w:t>
      </w:r>
    </w:p>
    <w:p>
      <w:pPr>
        <w:pStyle w:val="FirstParagraph"/>
      </w:pPr>
      <w:r>
        <w:t xml:space="preserve">Scope 3 emissions are the most comprehensive, covering the entire value chain. We ensure at least 95% coverage for compliance.</w:t>
      </w:r>
    </w:p>
    <w:p>
      <w:pPr>
        <w:pStyle w:val="BodyText"/>
      </w:pPr>
      <w:r>
        <w:rPr>
          <w:bCs/>
          <w:b/>
        </w:rPr>
        <w:t xml:space="preserve">Category 1: Purchased Goods and Services (Materials)</w:t>
      </w:r>
    </w:p>
    <w:p>
      <w:pPr>
        <w:numPr>
          <w:ilvl w:val="0"/>
          <w:numId w:val="1011"/>
        </w:numPr>
        <w:pStyle w:val="Compact"/>
      </w:pPr>
      <w:r>
        <w:t xml:space="preserve">Total Carbon from BOM: 6.1 kg CO2e / unit</w:t>
      </w:r>
    </w:p>
    <w:p>
      <w:pPr>
        <w:numPr>
          <w:ilvl w:val="0"/>
          <w:numId w:val="1011"/>
        </w:numPr>
        <w:pStyle w:val="Compact"/>
      </w:pPr>
      <w:r>
        <w:rPr>
          <w:bCs/>
          <w:b/>
        </w:rPr>
        <w:t xml:space="preserve">Emissions (Materials):</w:t>
      </w:r>
      <w:r>
        <w:t xml:space="preserve"> </w:t>
      </w:r>
      <w:r>
        <w:t xml:space="preserve">6.1 kg CO2e / unit</w:t>
      </w:r>
    </w:p>
    <w:p>
      <w:pPr>
        <w:pStyle w:val="FirstParagraph"/>
      </w:pPr>
      <w:r>
        <w:rPr>
          <w:bCs/>
          <w:b/>
        </w:rPr>
        <w:t xml:space="preserve">Category 4: Upstream Transportation and Distribution</w:t>
      </w:r>
    </w:p>
    <w:p>
      <w:pPr>
        <w:numPr>
          <w:ilvl w:val="0"/>
          <w:numId w:val="1012"/>
        </w:numPr>
        <w:pStyle w:val="Compact"/>
      </w:pPr>
      <w:r>
        <w:t xml:space="preserve">Transport Mode: Road Freight (Heavy Goods Vehicle)</w:t>
      </w:r>
    </w:p>
    <w:p>
      <w:pPr>
        <w:numPr>
          <w:ilvl w:val="0"/>
          <w:numId w:val="1012"/>
        </w:numPr>
        <w:pStyle w:val="Compact"/>
      </w:pPr>
      <w:r>
        <w:t xml:space="preserve">Transport Distance: 1500 km</w:t>
      </w:r>
    </w:p>
    <w:p>
      <w:pPr>
        <w:numPr>
          <w:ilvl w:val="0"/>
          <w:numId w:val="1012"/>
        </w:numPr>
        <w:pStyle w:val="Compact"/>
      </w:pPr>
      <w:r>
        <w:t xml:space="preserve">Product Weight (assumed for transport): 3 kg = 0.003 tonnes</w:t>
      </w:r>
    </w:p>
    <w:p>
      <w:pPr>
        <w:numPr>
          <w:ilvl w:val="0"/>
          <w:numId w:val="1012"/>
        </w:numPr>
        <w:pStyle w:val="Compact"/>
      </w:pPr>
      <w:r>
        <w:t xml:space="preserve">Road Freight EF: 0.09 kgCO2e/tkm</w:t>
      </w:r>
    </w:p>
    <w:p>
      <w:pPr>
        <w:numPr>
          <w:ilvl w:val="0"/>
          <w:numId w:val="1012"/>
        </w:numPr>
        <w:pStyle w:val="Compact"/>
      </w:pPr>
      <w:r>
        <w:rPr>
          <w:bCs/>
          <w:b/>
        </w:rPr>
        <w:t xml:space="preserve">Emissions (Inbound Transport):</w:t>
      </w:r>
      <w:r>
        <w:t xml:space="preserve"> </w:t>
      </w:r>
      <w:r>
        <w:t xml:space="preserve">0.003 tonnes * 1500 km * 0.09 kgCO2e/tkm = 0.405 kg CO2e / unit</w:t>
      </w:r>
    </w:p>
    <w:p>
      <w:pPr>
        <w:pStyle w:val="FirstParagraph"/>
      </w:pPr>
      <w:r>
        <w:rPr>
          <w:bCs/>
          <w:b/>
        </w:rPr>
        <w:t xml:space="preserve">Category 9: Downstream Transportation and Distribution (Last-Mile)</w:t>
      </w:r>
    </w:p>
    <w:p>
      <w:pPr>
        <w:numPr>
          <w:ilvl w:val="0"/>
          <w:numId w:val="1013"/>
        </w:numPr>
        <w:pStyle w:val="Compact"/>
      </w:pPr>
      <w:r>
        <w:t xml:space="preserve">Delivery Channel: Parcel Delivery Van</w:t>
      </w:r>
    </w:p>
    <w:p>
      <w:pPr>
        <w:numPr>
          <w:ilvl w:val="0"/>
          <w:numId w:val="1013"/>
        </w:numPr>
        <w:pStyle w:val="Compact"/>
      </w:pPr>
      <w:r>
        <w:t xml:space="preserve">Assumed Last-Mile Distance: 20 km</w:t>
      </w:r>
    </w:p>
    <w:p>
      <w:pPr>
        <w:numPr>
          <w:ilvl w:val="0"/>
          <w:numId w:val="1013"/>
        </w:numPr>
        <w:pStyle w:val="Compact"/>
      </w:pPr>
      <w:r>
        <w:t xml:space="preserve">Parcel Delivery Van EF: 0.4 kgCO2e/km</w:t>
      </w:r>
    </w:p>
    <w:p>
      <w:pPr>
        <w:numPr>
          <w:ilvl w:val="0"/>
          <w:numId w:val="1013"/>
        </w:numPr>
        <w:pStyle w:val="Compact"/>
      </w:pPr>
      <w:r>
        <w:rPr>
          <w:bCs/>
          <w:b/>
        </w:rPr>
        <w:t xml:space="preserve">Emissions (Last-Mile Delivery):</w:t>
      </w:r>
      <w:r>
        <w:t xml:space="preserve"> </w:t>
      </w:r>
      <w:r>
        <w:t xml:space="preserve">20 km * 0.4 kgCO2e/km = 8.0 kg CO2e / unit</w:t>
      </w:r>
    </w:p>
    <w:p>
      <w:pPr>
        <w:pStyle w:val="FirstParagraph"/>
      </w:pPr>
      <w:r>
        <w:rPr>
          <w:bCs/>
          <w:b/>
        </w:rPr>
        <w:t xml:space="preserve">Category 11: Use of Sold Products</w:t>
      </w:r>
    </w:p>
    <w:p>
      <w:pPr>
        <w:numPr>
          <w:ilvl w:val="0"/>
          <w:numId w:val="1014"/>
        </w:numPr>
        <w:pStyle w:val="Compact"/>
      </w:pPr>
      <w:r>
        <w:t xml:space="preserve">Product Lifespan: 7 years</w:t>
      </w:r>
    </w:p>
    <w:p>
      <w:pPr>
        <w:numPr>
          <w:ilvl w:val="0"/>
          <w:numId w:val="1014"/>
        </w:numPr>
        <w:pStyle w:val="Compact"/>
      </w:pPr>
      <w:r>
        <w:t xml:space="preserve">Energy Consumption in Use: 8 kWh/year</w:t>
      </w:r>
    </w:p>
    <w:p>
      <w:pPr>
        <w:numPr>
          <w:ilvl w:val="0"/>
          <w:numId w:val="1014"/>
        </w:numPr>
        <w:pStyle w:val="Compact"/>
      </w:pPr>
      <w:r>
        <w:t xml:space="preserve">Total Energy in Use: 7 years * 8 kWh/year = 56 kWh</w:t>
      </w:r>
    </w:p>
    <w:p>
      <w:pPr>
        <w:numPr>
          <w:ilvl w:val="0"/>
          <w:numId w:val="1014"/>
        </w:numPr>
        <w:pStyle w:val="Compact"/>
      </w:pPr>
      <w:r>
        <w:t xml:space="preserve">Global Average Grid EF (Use Phase): 0.5 kgCO2e/kWh</w:t>
      </w:r>
    </w:p>
    <w:p>
      <w:pPr>
        <w:numPr>
          <w:ilvl w:val="0"/>
          <w:numId w:val="1014"/>
        </w:numPr>
        <w:pStyle w:val="Compact"/>
      </w:pPr>
      <w:r>
        <w:rPr>
          <w:bCs/>
          <w:b/>
        </w:rPr>
        <w:t xml:space="preserve">Emissions (Use Phase):</w:t>
      </w:r>
      <w:r>
        <w:t xml:space="preserve"> </w:t>
      </w:r>
      <w:r>
        <w:t xml:space="preserve">56 kWh * 0.5 kgCO2e/kWh = 28.0 kg CO2e / unit</w:t>
      </w:r>
    </w:p>
    <w:p>
      <w:pPr>
        <w:pStyle w:val="FirstParagraph"/>
      </w:pPr>
      <w:r>
        <w:rPr>
          <w:bCs/>
          <w:b/>
        </w:rPr>
        <w:t xml:space="preserve">Category 12: End-of-Life Treatment of Sold Products</w:t>
      </w:r>
    </w:p>
    <w:p>
      <w:pPr>
        <w:numPr>
          <w:ilvl w:val="0"/>
          <w:numId w:val="1015"/>
        </w:numPr>
        <w:pStyle w:val="Compact"/>
      </w:pPr>
      <w:r>
        <w:t xml:space="preserve">Recyclability Percentage: 70%</w:t>
      </w:r>
    </w:p>
    <w:p>
      <w:pPr>
        <w:numPr>
          <w:ilvl w:val="0"/>
          <w:numId w:val="1015"/>
        </w:numPr>
        <w:pStyle w:val="Compact"/>
      </w:pPr>
      <w:r>
        <w:t xml:space="preserve">Circular Programs: Product refurbishment and component reuse program (xkuuhwimkg)</w:t>
      </w:r>
    </w:p>
    <w:p>
      <w:pPr>
        <w:numPr>
          <w:ilvl w:val="0"/>
          <w:numId w:val="1015"/>
        </w:numPr>
        <w:pStyle w:val="Compact"/>
      </w:pPr>
      <w:r>
        <w:t xml:space="preserve">Product Weight for EoL (based on material input): 2.6 kg</w:t>
      </w:r>
    </w:p>
    <w:p>
      <w:pPr>
        <w:numPr>
          <w:ilvl w:val="0"/>
          <w:numId w:val="1015"/>
        </w:numPr>
        <w:pStyle w:val="Compact"/>
      </w:pPr>
      <w:r>
        <w:t xml:space="preserve">Non-recycled portion: 2.6 kg * (1 - 0.70) = 0.78 kg</w:t>
      </w:r>
    </w:p>
    <w:p>
      <w:pPr>
        <w:numPr>
          <w:ilvl w:val="0"/>
          <w:numId w:val="1015"/>
        </w:numPr>
        <w:pStyle w:val="Compact"/>
      </w:pPr>
      <w:r>
        <w:t xml:space="preserve">Landfill EF: 0.05 kgCO2e/kg</w:t>
      </w:r>
    </w:p>
    <w:p>
      <w:pPr>
        <w:numPr>
          <w:ilvl w:val="0"/>
          <w:numId w:val="1015"/>
        </w:numPr>
        <w:pStyle w:val="Compact"/>
      </w:pPr>
      <w:r>
        <w:rPr>
          <w:bCs/>
          <w:b/>
        </w:rPr>
        <w:t xml:space="preserve">Emissions (End-of-Life Disposal):</w:t>
      </w:r>
      <w:r>
        <w:t xml:space="preserve"> </w:t>
      </w:r>
      <w:r>
        <w:t xml:space="preserve">0.78 kg * 0.05 kgCO2e/kg = 0.039 kg CO2e / unit</w:t>
      </w:r>
    </w:p>
    <w:p>
      <w:pPr>
        <w:numPr>
          <w:ilvl w:val="0"/>
          <w:numId w:val="1015"/>
        </w:numPr>
        <w:pStyle w:val="Compact"/>
      </w:pPr>
      <w:r>
        <w:t xml:space="preserve">The circular program (xkuuhwimkg) contributes to avoided emissions which would be quantified separately, but for direct PCF emissions, the focus is on disposal.</w:t>
      </w:r>
    </w:p>
    <w:bookmarkEnd w:id="36"/>
    <w:bookmarkEnd w:id="37"/>
    <w:bookmarkStart w:id="38" w:name="X2923a28f5006509f5458543de97a5b51dc74f8d"/>
    <w:p>
      <w:pPr>
        <w:pStyle w:val="Heading3"/>
      </w:pPr>
      <w:r>
        <w:t xml:space="preserve">4.3. Summary of Product Carbon Footprint (PCF) for hxsgtxldjd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6.100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4.800</w:t>
            </w:r>
          </w:p>
        </w:tc>
      </w:tr>
      <w:tr>
        <w:tc>
          <w:tcPr/>
          <w:p>
            <w:pPr>
              <w:pStyle w:val="Compact"/>
              <w:jc w:val="left"/>
            </w:pPr>
            <w:r>
              <w:t xml:space="preserve">Upstream Transportation (Inbound)</w:t>
            </w:r>
          </w:p>
        </w:tc>
        <w:tc>
          <w:tcPr/>
          <w:p>
            <w:pPr>
              <w:pStyle w:val="Compact"/>
              <w:jc w:val="left"/>
            </w:pPr>
            <w:r>
              <w:t xml:space="preserve">Scope 3 (Category 4)</w:t>
            </w:r>
          </w:p>
        </w:tc>
        <w:tc>
          <w:tcPr/>
          <w:p>
            <w:pPr>
              <w:pStyle w:val="Compact"/>
              <w:jc w:val="left"/>
            </w:pPr>
            <w:r>
              <w:t xml:space="preserve">0.405</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8.000</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28.000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0.039</w:t>
            </w:r>
          </w:p>
        </w:tc>
      </w:tr>
      <w:tr>
        <w:tc>
          <w:tcPr/>
          <w:p>
            <w:pPr>
              <w:pStyle w:val="Compact"/>
              <w:jc w:val="left"/>
            </w:pPr>
            <w:r>
              <w:t xml:space="preserve">TOTAL PCF</w:t>
            </w:r>
          </w:p>
        </w:tc>
        <w:tc>
          <w:tcPr/>
          <w:p>
            <w:pPr>
              <w:pStyle w:val="Compact"/>
            </w:pPr>
          </w:p>
        </w:tc>
        <w:tc>
          <w:tcPr/>
          <w:p>
            <w:pPr>
              <w:pStyle w:val="Compact"/>
              <w:jc w:val="left"/>
            </w:pPr>
            <w:r>
              <w:t xml:space="preserve">47.344</w:t>
            </w:r>
          </w:p>
        </w:tc>
      </w:tr>
    </w:tbl>
    <w:p>
      <w:pPr>
        <w:pStyle w:val="BodyText"/>
      </w:pPr>
      <w:r>
        <w:t xml:space="preserve">The total Product Carbon Footprint for hxsgtxldjd is approximately 47.34 kg CO2e per unit.</w:t>
      </w:r>
    </w:p>
    <w:p>
      <w:r>
        <w:pict>
          <v:rect style="width:0;height:1.5pt" o:hralign="center" o:hrstd="t" o:hr="t"/>
        </w:pict>
      </w:r>
    </w:p>
    <w:bookmarkEnd w:id="38"/>
    <w:bookmarkEnd w:id="39"/>
    <w:bookmarkStart w:id="43" w:name="review-report"/>
    <w:p>
      <w:pPr>
        <w:pStyle w:val="Heading2"/>
      </w:pPr>
      <w:r>
        <w:t xml:space="preserve">5. Review &amp; Report</w:t>
      </w:r>
    </w:p>
    <w:bookmarkStart w:id="40" w:name="hotspot-identification"/>
    <w:p>
      <w:pPr>
        <w:pStyle w:val="Heading3"/>
      </w:pPr>
      <w:r>
        <w:t xml:space="preserve">5.1. Hotspot Identification</w:t>
      </w:r>
    </w:p>
    <w:p>
      <w:pPr>
        <w:pStyle w:val="FirstParagraph"/>
      </w:pPr>
      <w:r>
        <w:t xml:space="preserve">The analysis reveals the following major carbon hotspots in the lifecycle of hxsgtxldjd:</w:t>
      </w:r>
    </w:p>
    <w:p>
      <w:pPr>
        <w:numPr>
          <w:ilvl w:val="0"/>
          <w:numId w:val="1016"/>
        </w:numPr>
        <w:pStyle w:val="Compact"/>
      </w:pPr>
      <w:r>
        <w:rPr>
          <w:bCs/>
          <w:b/>
        </w:rPr>
        <w:t xml:space="preserve">Product Use Phase (28.0 kg CO2e):</w:t>
      </w:r>
      <w:r>
        <w:t xml:space="preserve"> </w:t>
      </w:r>
      <w:r>
        <w:t xml:space="preserve">This is the most significant hotspot, primarily driven by energy consumption over the product\'s 7-year lifespan. This highlights a critical area for product redesign focusing on energy efficiency.</w:t>
      </w:r>
    </w:p>
    <w:p>
      <w:pPr>
        <w:numPr>
          <w:ilvl w:val="0"/>
          <w:numId w:val="1016"/>
        </w:numPr>
        <w:pStyle w:val="Compact"/>
      </w:pPr>
      <w:r>
        <w:rPr>
          <w:bCs/>
          <w:b/>
        </w:rPr>
        <w:t xml:space="preserve">Downstream Transportation (Last-Mile Delivery) (8.0 kg CO2e):</w:t>
      </w:r>
      <w:r>
        <w:t xml:space="preserve"> </w:t>
      </w:r>
      <w:r>
        <w:t xml:space="preserve">Last-mile logistics contribute substantially, suggesting optimization of delivery routes, vehicle types, or local distribution models could yield significant reductions.</w:t>
      </w:r>
    </w:p>
    <w:p>
      <w:pPr>
        <w:numPr>
          <w:ilvl w:val="0"/>
          <w:numId w:val="1016"/>
        </w:numPr>
        <w:pStyle w:val="Compact"/>
      </w:pPr>
      <w:r>
        <w:rPr>
          <w:bCs/>
          <w:b/>
        </w:rPr>
        <w:t xml:space="preserve">Material Acquisition &amp; Processing (6.1 kg CO2e):</w:t>
      </w:r>
      <w:r>
        <w:t xml:space="preserve"> </w:t>
      </w:r>
      <w:r>
        <w:t xml:space="preserve">The choice of materials and their associated manufacturing processes are also a considerable contributor. Opportunities exist in sourcing lower-carbon materials or increasing recycled content.</w:t>
      </w:r>
    </w:p>
    <w:p>
      <w:pPr>
        <w:numPr>
          <w:ilvl w:val="0"/>
          <w:numId w:val="1016"/>
        </w:numPr>
        <w:pStyle w:val="Compact"/>
      </w:pPr>
      <w:r>
        <w:rPr>
          <w:bCs/>
          <w:b/>
        </w:rPr>
        <w:t xml:space="preserve">Manufacturing (Scope 2) (4.8 kg CO2e):</w:t>
      </w:r>
      <w:r>
        <w:t xml:space="preserve"> </w:t>
      </w:r>
      <w:r>
        <w:t xml:space="preserve">While ovpqlriors utilizes 60% renewable energy, the remaining grid electricity still represents a notable portion. Further increasing renewable energy usage or investing in energy-efficient production technologies would reduce this impact.</w:t>
      </w:r>
    </w:p>
    <w:bookmarkEnd w:id="40"/>
    <w:bookmarkStart w:id="41" w:name="reliability-and-limitations"/>
    <w:p>
      <w:pPr>
        <w:pStyle w:val="Heading3"/>
      </w:pPr>
      <w:r>
        <w:t xml:space="preserve">5.2. Reliability and Limitations</w:t>
      </w:r>
    </w:p>
    <w:p>
      <w:pPr>
        <w:pStyle w:val="FirstParagraph"/>
      </w:pPr>
      <w:r>
        <w:t xml:space="preserve">The reliability of this PCF report is high, given the adherence to the GHG Protocol and the detailed input parameters. However, certain limitations exist:</w:t>
      </w:r>
    </w:p>
    <w:p>
      <w:pPr>
        <w:numPr>
          <w:ilvl w:val="0"/>
          <w:numId w:val="1017"/>
        </w:numPr>
        <w:pStyle w:val="Compact"/>
      </w:pPr>
      <w:r>
        <w:rPr>
          <w:bCs/>
          <w:b/>
        </w:rPr>
        <w:t xml:space="preserve">Placeholder Data:</w:t>
      </w:r>
      <w:r>
        <w:t xml:space="preserve"> </w:t>
      </w:r>
      <w:r>
        <w:t xml:space="preserve">The numerical interpretation of specific placeholder parameters (e.g., \'Select Mode\' as Road Freight, \'ouwofejipe\' as 1500 km, \'sszzprowqx\' as 20 kWh/unit) required assumptions. Actual values for these parameters would enhance precision.</w:t>
      </w:r>
    </w:p>
    <w:p>
      <w:pPr>
        <w:numPr>
          <w:ilvl w:val="0"/>
          <w:numId w:val="1017"/>
        </w:numPr>
        <w:pStyle w:val="Compact"/>
      </w:pPr>
      <w:r>
        <w:rPr>
          <w:bCs/>
          <w:b/>
        </w:rPr>
        <w:t xml:space="preserve">Emission Factor Specificity:</w:t>
      </w:r>
      <w:r>
        <w:t xml:space="preserve"> </w:t>
      </w:r>
      <w:r>
        <w:t xml:space="preserve">While industry-standard emission factors were used, very specific, country- and technology-specific factors (e.g., for every sub-process in manufacturing) would further refine the results.</w:t>
      </w:r>
    </w:p>
    <w:p>
      <w:pPr>
        <w:numPr>
          <w:ilvl w:val="0"/>
          <w:numId w:val="1017"/>
        </w:numPr>
        <w:pStyle w:val="Compact"/>
      </w:pPr>
      <w:r>
        <w:rPr>
          <w:bCs/>
          <w:b/>
        </w:rPr>
        <w:t xml:space="preserve">LSR Data:</w:t>
      </w:r>
      <w:r>
        <w:t xml:space="preserve"> </w:t>
      </w:r>
      <w:r>
        <w:t xml:space="preserve">The application of the 2026 LSR Standard was contextualized, but without specific land-use change or carbon removal data for hxsgtxldjd, a quantitative assessment in this area was not performed.</w:t>
      </w:r>
    </w:p>
    <w:p>
      <w:pPr>
        <w:numPr>
          <w:ilvl w:val="0"/>
          <w:numId w:val="1017"/>
        </w:numPr>
        <w:pStyle w:val="Compact"/>
      </w:pPr>
      <w:r>
        <w:rPr>
          <w:bCs/>
          <w:b/>
        </w:rPr>
        <w:t xml:space="preserve">System Boundary:</w:t>
      </w:r>
      <w:r>
        <w:t xml:space="preserve"> </w:t>
      </w:r>
      <w:r>
        <w:t xml:space="preserve">The "factory_gate" system boundary for direct operations means upstream impacts for raw material acquisition are primarily Scope 3, and any very specific Scope 1 emissions from raw material extraction are embedded in the material emission factors.</w:t>
      </w:r>
    </w:p>
    <w:bookmarkEnd w:id="41"/>
    <w:bookmarkStart w:id="42" w:name="recommendations-for-reduction"/>
    <w:p>
      <w:pPr>
        <w:pStyle w:val="Heading3"/>
      </w:pPr>
      <w:r>
        <w:t xml:space="preserve">5.3. Recommendations for Reduction</w:t>
      </w:r>
    </w:p>
    <w:p>
      <w:pPr>
        <w:pStyle w:val="FirstParagraph"/>
      </w:pPr>
      <w:r>
        <w:t xml:space="preserve">Based on the hotspots, ovpqlriors should consider the following:</w:t>
      </w:r>
    </w:p>
    <w:p>
      <w:pPr>
        <w:numPr>
          <w:ilvl w:val="0"/>
          <w:numId w:val="1018"/>
        </w:numPr>
        <w:pStyle w:val="Compact"/>
      </w:pPr>
      <w:r>
        <w:rPr>
          <w:bCs/>
          <w:b/>
        </w:rPr>
        <w:t xml:space="preserve">Use Phase Optimization:</w:t>
      </w:r>
      <w:r>
        <w:t xml:space="preserve"> </w:t>
      </w:r>
      <w:r>
        <w:t xml:space="preserve">Prioritize design improvements for hxsgtxldjd to significantly reduce its energy consumption during the use phase. This could involve more energy-efficient components, smart energy management features, or a shift towards passive design.</w:t>
      </w:r>
    </w:p>
    <w:p>
      <w:pPr>
        <w:numPr>
          <w:ilvl w:val="0"/>
          <w:numId w:val="1018"/>
        </w:numPr>
        <w:pStyle w:val="Compact"/>
      </w:pPr>
      <w:r>
        <w:rPr>
          <w:bCs/>
          <w:b/>
        </w:rPr>
        <w:t xml:space="preserve">Logistics Efficiency:</w:t>
      </w:r>
      <w:r>
        <w:t xml:space="preserve"> </w:t>
      </w:r>
      <w:r>
        <w:t xml:space="preserve">Explore strategies to optimize transport, such as route optimization, increasing load efficiency, shifting to lower-emission transport modes where feasible (e.g., rail over road for longer distances), and collaborating with logistics partners on green delivery solutions for the last mile.</w:t>
      </w:r>
    </w:p>
    <w:p>
      <w:pPr>
        <w:numPr>
          <w:ilvl w:val="0"/>
          <w:numId w:val="1018"/>
        </w:numPr>
        <w:pStyle w:val="Compact"/>
      </w:pPr>
      <w:r>
        <w:rPr>
          <w:bCs/>
          <w:b/>
        </w:rPr>
        <w:t xml:space="preserve">Sustainable Material Sourcing:</w:t>
      </w:r>
      <w:r>
        <w:t xml:space="preserve"> </w:t>
      </w:r>
      <w:r>
        <w:t xml:space="preserve">Investigate alternative materials with lower embodied carbon, increase the use of recycled content, or explore materials from certified sustainable sources to reduce the impact of the material acquisition phase.</w:t>
      </w:r>
    </w:p>
    <w:p>
      <w:pPr>
        <w:numPr>
          <w:ilvl w:val="0"/>
          <w:numId w:val="1018"/>
        </w:numPr>
        <w:pStyle w:val="Compact"/>
      </w:pPr>
      <w:r>
        <w:rPr>
          <w:bCs/>
          <w:b/>
        </w:rPr>
        <w:t xml:space="preserve">Renewable Energy Expansion:</w:t>
      </w:r>
      <w:r>
        <w:t xml:space="preserve"> </w:t>
      </w:r>
      <w:r>
        <w:t xml:space="preserve">Continue to increase the share of renewable energy used in manufacturing operations to further decrease Scope 2 emissions.</w:t>
      </w:r>
    </w:p>
    <w:p>
      <w:pPr>
        <w:numPr>
          <w:ilvl w:val="0"/>
          <w:numId w:val="1018"/>
        </w:numPr>
        <w:pStyle w:val="Compact"/>
      </w:pPr>
      <w:r>
        <w:rPr>
          <w:bCs/>
          <w:b/>
        </w:rPr>
        <w:t xml:space="preserve">Circular Economy Integration:</w:t>
      </w:r>
      <w:r>
        <w:t xml:space="preserve"> </w:t>
      </w:r>
      <w:r>
        <w:t xml:space="preserve">Leverage the "Product refurbishment and component reuse program (xkuuhwimkg)" to its full potential, extending product lifespans and reducing demand for new production, thereby generating significant avoided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hxsgtxldjd</dc:title>
  <dc:creator/>
  <dc:description>Detailed Product Carbon Footprint (PCF) analysis report for hxsgtxldjd, prepared by kivfxfkksh for ovpqlriors, adhering to GHG Protocol and 2026 LSR Update requirements.</dc:description>
  <cp:keywords/>
  <dcterms:created xsi:type="dcterms:W3CDTF">2026-07-15T03:03:30Z</dcterms:created>
  <dcterms:modified xsi:type="dcterms:W3CDTF">2026-07-15T03:03:30Z</dcterms:modified>
</cp:coreProperties>
</file>

<file path=docProps/custom.xml><?xml version="1.0" encoding="utf-8"?>
<Properties xmlns="http://schemas.openxmlformats.org/officeDocument/2006/custom-properties" xmlns:vt="http://schemas.openxmlformats.org/officeDocument/2006/docPropsVTypes"/>
</file>