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hxgquwlevd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hxgquwlevd</w:t>
      </w:r>
    </w:p>
    <w:p>
      <w:pPr>
        <w:pStyle w:val="BodyText"/>
      </w:pPr>
      <w:r>
        <w:t xml:space="preserve">Company: wqosnwturh</w:t>
      </w:r>
    </w:p>
    <w:p>
      <w:pPr>
        <w:pStyle w:val="BodyText"/>
      </w:pPr>
      <w:r>
        <w:t xml:space="preserve">Accounting Standard: GHG Protocol</w:t>
      </w:r>
    </w:p>
    <w:p>
      <w:pPr>
        <w:pStyle w:val="BodyText"/>
      </w:pPr>
      <w:r>
        <w:t xml:space="preserve">Senior Sustainability Consultant: sezvqdnwyf</w:t>
      </w:r>
    </w:p>
    <w:p>
      <w:pPr>
        <w:pStyle w:val="BodyText"/>
      </w:pPr>
      <w:r>
        <w:t xml:space="preserve">This report is generated based on available data and industry standards. While efforts have been made to ensure accuracy, the actual environmental impacts may vary.</w:t>
      </w:r>
    </w:p>
    <w:bookmarkEnd w:id="20"/>
    <w:bookmarkStart w:id="21" w:name="X7192aad774cafedb8cb0459ae388b0d5979ac85"/>
    <w:p>
      <w:pPr>
        <w:pStyle w:val="Heading1"/>
      </w:pPr>
      <w:r>
        <w:t xml:space="preserve">Product Carbon Footprint Analysis: hxgquwlevd</w:t>
      </w:r>
    </w:p>
    <w:p>
      <w:pPr>
        <w:pStyle w:val="FirstParagraph"/>
      </w:pPr>
      <w:r>
        <w:t xml:space="preserve">Generated Date: Tuesday,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hxgquwlevd manufactured by wqosnwturh. The analysis, conducted by Senior Sustainability Consultant sezvqdnwyf, adheres to the Greenhouse Gas (GHG) Protocol, including specific considerations for the 2026 Land Sector and Removals (LSR) Standard update and aiming for at least 95% coverage for Scope 3 reporting. The total cradle-to-grave PCF for one functional unit of hxgquwlevd is calculated to be approximately</w:t>
      </w:r>
      <w:r>
        <w:t xml:space="preserve"> </w:t>
      </w:r>
      <w:r>
        <w:rPr>
          <w:bCs/>
          <w:b/>
        </w:rPr>
        <w:t xml:space="preserve">21.44 kg CO2e</w:t>
      </w:r>
      <w:r>
        <w:t xml:space="preserve">. Key emission hotspots identified include material acquisition, the use phase, and manufacturing energy consumption.</w:t>
      </w:r>
    </w:p>
    <w:p>
      <w:pPr>
        <w:pStyle w:val="BodyText"/>
      </w:pPr>
      <w:r>
        <w:t xml:space="preserve">This analysis provides wqosnwturh with a comprehensive understanding of its product\'s environmental impact across its lifecycle, identifying areas for strategic intervention to reduce its carbon footprint and enhance sustainability performance.</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first step in the PCF analysis involves clearly defining the parameters and boundaries of the assessment.</w:t>
      </w:r>
    </w:p>
    <w:p>
      <w:pPr>
        <w:numPr>
          <w:ilvl w:val="0"/>
          <w:numId w:val="1001"/>
        </w:numPr>
        <w:pStyle w:val="Compact"/>
      </w:pPr>
      <w:r>
        <w:rPr>
          <w:bCs/>
          <w:b/>
        </w:rPr>
        <w:t xml:space="preserve">Functional Unit:</w:t>
      </w:r>
      <w:r>
        <w:t xml:space="preserve"> </w:t>
      </w:r>
      <w:r>
        <w:t xml:space="preserve">1.0 unit of hxgquwlevd.</w:t>
      </w:r>
    </w:p>
    <w:p>
      <w:pPr>
        <w:numPr>
          <w:ilvl w:val="0"/>
          <w:numId w:val="1001"/>
        </w:numPr>
        <w:pStyle w:val="Compact"/>
      </w:pPr>
      <w:r>
        <w:rPr>
          <w:bCs/>
          <w:b/>
        </w:rPr>
        <w:t xml:space="preserve">System Boundary:</w:t>
      </w:r>
      <w:r>
        <w:t xml:space="preserve"> </w:t>
      </w:r>
      <w:r>
        <w:t xml:space="preserve">Cradle-to-grave, encompassing all stages from raw material extraction, through manufacturing (with a focus on the factory_gate for direct operations), distribution, use, and end-of-life.</w:t>
      </w:r>
    </w:p>
    <w:p>
      <w:pPr>
        <w:numPr>
          <w:ilvl w:val="0"/>
          <w:numId w:val="1001"/>
        </w:numPr>
        <w:pStyle w:val="Compact"/>
      </w:pPr>
      <w:r>
        <w:rPr>
          <w:bCs/>
          <w:b/>
        </w:rPr>
        <w:t xml:space="preserve">Geographic Scope:</w:t>
      </w:r>
      <w:r>
        <w:t xml:space="preserve"> </w:t>
      </w:r>
      <w:r>
        <w:t xml:space="preserve">Final production in China, with a supply chain focus on Europe. Use phase electricity mix reflects average European grid, while manufacturing electricity reflects Chinese grid mix.</w:t>
      </w:r>
    </w:p>
    <w:p>
      <w:pPr>
        <w:numPr>
          <w:ilvl w:val="0"/>
          <w:numId w:val="1001"/>
        </w:numPr>
        <w:pStyle w:val="Compact"/>
      </w:pPr>
      <w:r>
        <w:rPr>
          <w:bCs/>
          <w:b/>
        </w:rPr>
        <w:t xml:space="preserve">Allocation:</w:t>
      </w:r>
      <w:r>
        <w:t xml:space="preserve"> </w:t>
      </w:r>
      <w:r>
        <w:t xml:space="preserve">Emissions are allocated to the functional unit based on mass for material inputs and direct energy consumption. End-of-life benefits from recycling are allocated as avoided emissions.</w:t>
      </w:r>
    </w:p>
    <w:p>
      <w:pPr>
        <w:numPr>
          <w:ilvl w:val="0"/>
          <w:numId w:val="1001"/>
        </w:numPr>
        <w:pStyle w:val="Compact"/>
      </w:pPr>
      <w:r>
        <w:rPr>
          <w:bCs/>
          <w:b/>
        </w:rPr>
        <w:t xml:space="preserve">Accounting Standard:</w:t>
      </w:r>
      <w:r>
        <w:t xml:space="preserve"> </w:t>
      </w:r>
      <w:r>
        <w:t xml:space="preserve">This analysis strictly follows the **GHG Protocol** standards, classifying emissions into Scope 1 (direct), Scope 2 (purchased energy), and Scope 3 (value chain).</w:t>
      </w:r>
    </w:p>
    <w:bookmarkEnd w:id="23"/>
    <w:p>
      <w:r>
        <w:pict>
          <v:rect style="width:0;height:1.5pt" o:hralign="center" o:hrstd="t" o:hr="t"/>
        </w:pict>
      </w:r>
    </w:p>
    <w:bookmarkStart w:id="24" w:name="map-lifecycle-lci-inventory-stages"/>
    <w:p>
      <w:pPr>
        <w:pStyle w:val="Heading2"/>
      </w:pPr>
      <w:r>
        <w:t xml:space="preserve">2. Map Lifecycle (LCI Inventory Stages)</w:t>
      </w:r>
    </w:p>
    <w:p>
      <w:pPr>
        <w:pStyle w:val="FirstParagraph"/>
      </w:pPr>
      <w:r>
        <w:t xml:space="preserve">The lifecycle of hxgquwlevd is mapped across the following stages:</w:t>
      </w:r>
    </w:p>
    <w:p>
      <w:pPr>
        <w:numPr>
          <w:ilvl w:val="0"/>
          <w:numId w:val="1002"/>
        </w:numPr>
        <w:pStyle w:val="Compact"/>
      </w:pPr>
      <w:r>
        <w:rPr>
          <w:bCs/>
          <w:b/>
        </w:rPr>
        <w:t xml:space="preserve">Material Acquisition &amp; Pre-processing:</w:t>
      </w:r>
      <w:r>
        <w:t xml:space="preserve"> </w:t>
      </w:r>
      <w:r>
        <w:t xml:space="preserve">Extraction and processing of raw materials (e.g., metals, plastics, electronics components, packaging).</w:t>
      </w:r>
    </w:p>
    <w:p>
      <w:pPr>
        <w:numPr>
          <w:ilvl w:val="0"/>
          <w:numId w:val="1002"/>
        </w:numPr>
        <w:pStyle w:val="Compact"/>
      </w:pPr>
      <w:r>
        <w:rPr>
          <w:bCs/>
          <w:b/>
        </w:rPr>
        <w:t xml:space="preserve">Manufacturing / Production:</w:t>
      </w:r>
      <w:r>
        <w:t xml:space="preserve"> </w:t>
      </w:r>
      <w:r>
        <w:t xml:space="preserve">Fabrication, assembly, and packaging processes at the wqosnwturh facility in China.</w:t>
      </w:r>
    </w:p>
    <w:p>
      <w:pPr>
        <w:numPr>
          <w:ilvl w:val="0"/>
          <w:numId w:val="1002"/>
        </w:numPr>
        <w:pStyle w:val="Compact"/>
      </w:pPr>
      <w:r>
        <w:rPr>
          <w:bCs/>
          <w:b/>
        </w:rPr>
        <w:t xml:space="preserve">Transport:</w:t>
      </w:r>
      <w:r>
        <w:t xml:space="preserve"> </w:t>
      </w:r>
      <w:r>
        <w:t xml:space="preserve">Upstream transportation of raw materials to the manufacturing facility and downstream transportation of the finished product to the end-consumer in Europe, including last-mile delivery.</w:t>
      </w:r>
    </w:p>
    <w:p>
      <w:pPr>
        <w:numPr>
          <w:ilvl w:val="0"/>
          <w:numId w:val="1002"/>
        </w:numPr>
        <w:pStyle w:val="Compact"/>
      </w:pPr>
      <w:r>
        <w:rPr>
          <w:bCs/>
          <w:b/>
        </w:rPr>
        <w:t xml:space="preserve">Use Phase:</w:t>
      </w:r>
      <w:r>
        <w:t xml:space="preserve"> </w:t>
      </w:r>
      <w:r>
        <w:t xml:space="preserve">Energy consumption during the product\'s lifespan by the end-user.</w:t>
      </w:r>
    </w:p>
    <w:p>
      <w:pPr>
        <w:numPr>
          <w:ilvl w:val="0"/>
          <w:numId w:val="1002"/>
        </w:numPr>
        <w:pStyle w:val="Compact"/>
      </w:pPr>
      <w:r>
        <w:rPr>
          <w:bCs/>
          <w:b/>
        </w:rPr>
        <w:t xml:space="preserve">End-of-Life (EoL):</w:t>
      </w:r>
      <w:r>
        <w:t xml:space="preserve"> </w:t>
      </w:r>
      <w:r>
        <w:t xml:space="preserve">Disposal, recycling, or recovery processes after the product\'s useful life.</w:t>
      </w:r>
    </w:p>
    <w:p>
      <w:pPr>
        <w:pStyle w:val="FirstParagraph"/>
      </w:pPr>
      <w:r>
        <w:t xml:space="preserve">The **2026 LSR Update** for land use and carbon removals has been considered conceptually in the methodology, acknowledging the importance of land-based impacts and removals, though specific quantitative details for this product are integrated where data permits, primarily within the material acquisition phase where biomass-based materials might be present or where land-use change associated with material production is relevant.</w:t>
      </w:r>
    </w:p>
    <w:bookmarkEnd w:id="24"/>
    <w:p>
      <w:r>
        <w:pict>
          <v:rect style="width:0;height:1.5pt" o:hralign="center" o:hrstd="t" o:hr="t"/>
        </w:pict>
      </w:r>
    </w:p>
    <w:bookmarkStart w:id="31" w:name="Xb57f50a89bf1f3f1837369be949d9d60d6c1272"/>
    <w:p>
      <w:pPr>
        <w:pStyle w:val="Heading2"/>
      </w:pPr>
      <w:r>
        <w:t xml:space="preserve">3. Collect Data (Primary/Secondary Data Points)</w:t>
      </w:r>
    </w:p>
    <w:p>
      <w:pPr>
        <w:pStyle w:val="FirstParagraph"/>
      </w:pPr>
      <w:r>
        <w:t xml:space="preserve">Data collection involved both primary data provided by wqosnwturh (where specified) and secondary, industry-average emission factors for general processes and materials.</w:t>
      </w:r>
    </w:p>
    <w:bookmarkStart w:id="25" w:name="X76d327e8e361d0e1fc3c5c7d942325a0b78425b"/>
    <w:p>
      <w:pPr>
        <w:pStyle w:val="Heading3"/>
      </w:pPr>
      <w:r>
        <w:t xml:space="preserve">Detailed Bill of Materials (BOM) Data (tjulkwgz)</w:t>
      </w:r>
    </w:p>
    <w:p>
      <w:pPr>
        <w:pStyle w:val="FirstParagraph"/>
      </w:pPr>
      <w:r>
        <w:t xml:space="preserve">The following detailed Bill of Materials (BOM) was used for high-accuracy material impact calculation. The "Emission Factor" represents the cradle-to-gate impact of the material itself.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3.125</w:t>
            </w:r>
          </w:p>
        </w:tc>
        <w:tc>
          <w:tcPr/>
          <w:p>
            <w:pPr>
              <w:pStyle w:val="Compact"/>
              <w:jc w:val="left"/>
            </w:pPr>
            <w:r>
              <w:t xml:space="preserve">2.50</w:t>
            </w:r>
          </w:p>
        </w:tc>
      </w:tr>
      <w:tr>
        <w:tc>
          <w:tcPr/>
          <w:p>
            <w:pPr>
              <w:pStyle w:val="Compact"/>
              <w:jc w:val="left"/>
            </w:pPr>
            <w:r>
              <w:t xml:space="preserve">E001</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A001</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Virgin pulp</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gridSpan w:val="7"/>
          </w:tcPr>
          <w:p>
            <w:pPr>
              <w:pStyle w:val="Compact"/>
              <w:jc w:val="right"/>
            </w:pPr>
            <w:r>
              <w:rPr>
                <w:bCs/>
                <w:b/>
              </w:rPr>
              <w:t xml:space="preserve">Total Material Carbon (excl. processing energy at factory):</w:t>
            </w:r>
          </w:p>
        </w:tc>
        <w:tc>
          <w:tcPr/>
          <w:p>
            <w:pPr>
              <w:pStyle w:val="Compact"/>
              <w:jc w:val="left"/>
            </w:pPr>
            <w:r>
              <w:rPr>
                <w:bCs/>
                <w:b/>
              </w:rPr>
              <w:t xml:space="preserve">10.16</w:t>
            </w:r>
          </w:p>
        </w:tc>
      </w:tr>
    </w:tbl>
    <w:bookmarkEnd w:id="25"/>
    <w:bookmarkStart w:id="26" w:name="logistics-data"/>
    <w:p>
      <w:pPr>
        <w:pStyle w:val="Heading3"/>
      </w:pPr>
      <w:r>
        <w:t xml:space="preserve">Logistics Data</w:t>
      </w:r>
    </w:p>
    <w:p>
      <w:pPr>
        <w:numPr>
          <w:ilvl w:val="0"/>
          <w:numId w:val="1003"/>
        </w:numPr>
        <w:pStyle w:val="Compact"/>
      </w:pPr>
      <w:r>
        <w:rPr>
          <w:bCs/>
          <w:b/>
        </w:rPr>
        <w:t xml:space="preserve">Transport Mode (Upstream):</w:t>
      </w:r>
      <w:r>
        <w:t xml:space="preserve"> </w:t>
      </w:r>
      <w:r>
        <w:t xml:space="preserve">Ocean Freight (materials to China), Road Freight (within China).</w:t>
      </w:r>
    </w:p>
    <w:p>
      <w:pPr>
        <w:numPr>
          <w:ilvl w:val="0"/>
          <w:numId w:val="1003"/>
        </w:numPr>
        <w:pStyle w:val="Compact"/>
      </w:pPr>
      <w:r>
        <w:rPr>
          <w:bCs/>
          <w:b/>
        </w:rPr>
        <w:t xml:space="preserve">Transport Mode (Downstream):</w:t>
      </w:r>
      <w:r>
        <w:t xml:space="preserve"> </w:t>
      </w:r>
      <w:r>
        <w:t xml:space="preserve">Ocean Freight (finished goods to Europe), Road Freight (within Europe), Last-Mile Delivery (Road, Van).</w:t>
      </w:r>
    </w:p>
    <w:p>
      <w:pPr>
        <w:numPr>
          <w:ilvl w:val="0"/>
          <w:numId w:val="1003"/>
        </w:numPr>
        <w:pStyle w:val="Compact"/>
      </w:pPr>
      <w:r>
        <w:rPr>
          <w:bCs/>
          <w:b/>
        </w:rPr>
        <w:t xml:space="preserve">Transport Distance (etvqlehmxh - Illustrative, based on supply chain focus):</w:t>
      </w:r>
    </w:p>
    <w:p>
      <w:pPr>
        <w:numPr>
          <w:ilvl w:val="1"/>
          <w:numId w:val="1004"/>
        </w:numPr>
        <w:pStyle w:val="Compact"/>
      </w:pPr>
      <w:r>
        <w:t xml:space="preserve">Ocean Freight (materials/finished product, e.g., Asia-Europe): 15,000 km</w:t>
      </w:r>
    </w:p>
    <w:p>
      <w:pPr>
        <w:numPr>
          <w:ilvl w:val="1"/>
          <w:numId w:val="1004"/>
        </w:numPr>
        <w:pStyle w:val="Compact"/>
      </w:pPr>
      <w:r>
        <w:t xml:space="preserve">Road Freight (China, factory to port / port to factory): 500 km</w:t>
      </w:r>
    </w:p>
    <w:p>
      <w:pPr>
        <w:numPr>
          <w:ilvl w:val="1"/>
          <w:numId w:val="1004"/>
        </w:numPr>
        <w:pStyle w:val="Compact"/>
      </w:pPr>
      <w:r>
        <w:t xml:space="preserve">Road Freight (Europe, port to distribution center): 300 km</w:t>
      </w:r>
    </w:p>
    <w:p>
      <w:pPr>
        <w:numPr>
          <w:ilvl w:val="1"/>
          <w:numId w:val="1004"/>
        </w:numPr>
        <w:pStyle w:val="Compact"/>
      </w:pPr>
      <w:r>
        <w:t xml:space="preserve">Last-Mile Delivery (Delivery Type - Road, Van): 100 km</w:t>
      </w:r>
    </w:p>
    <w:bookmarkEnd w:id="26"/>
    <w:bookmarkStart w:id="27" w:name="X5077dc433e1da7ac35c89ed02c6fc33082866a4"/>
    <w:p>
      <w:pPr>
        <w:pStyle w:val="Heading3"/>
      </w:pPr>
      <w:r>
        <w:t xml:space="preserve">Energy Customization Data (Production Phase)</w:t>
      </w:r>
    </w:p>
    <w:p>
      <w:pPr>
        <w:numPr>
          <w:ilvl w:val="0"/>
          <w:numId w:val="1005"/>
        </w:numPr>
        <w:pStyle w:val="Compact"/>
      </w:pPr>
      <w:r>
        <w:rPr>
          <w:bCs/>
          <w:b/>
        </w:rPr>
        <w:t xml:space="preserve">Renewable Energy Usage (zzlrmrzmnm):</w:t>
      </w:r>
      <w:r>
        <w:t xml:space="preserve"> </w:t>
      </w:r>
      <w:r>
        <w:t xml:space="preserve">50%</w:t>
      </w:r>
    </w:p>
    <w:p>
      <w:pPr>
        <w:numPr>
          <w:ilvl w:val="0"/>
          <w:numId w:val="1005"/>
        </w:numPr>
        <w:pStyle w:val="Compact"/>
      </w:pPr>
      <w:r>
        <w:rPr>
          <w:bCs/>
          <w:b/>
        </w:rPr>
        <w:t xml:space="preserve">Energy Intensity (kWh/unit - qxidpsiinm):</w:t>
      </w:r>
      <w:r>
        <w:t xml:space="preserve"> </w:t>
      </w:r>
      <w:r>
        <w:t xml:space="preserve">15 kWh/unit</w:t>
      </w:r>
    </w:p>
    <w:bookmarkEnd w:id="27"/>
    <w:bookmarkStart w:id="28" w:name="use-phase-data"/>
    <w:p>
      <w:pPr>
        <w:pStyle w:val="Heading3"/>
      </w:pPr>
      <w:r>
        <w:t xml:space="preserve">Use Phase Data</w:t>
      </w:r>
    </w:p>
    <w:p>
      <w:pPr>
        <w:numPr>
          <w:ilvl w:val="0"/>
          <w:numId w:val="1006"/>
        </w:numPr>
        <w:pStyle w:val="Compact"/>
      </w:pPr>
      <w:r>
        <w:rPr>
          <w:bCs/>
          <w:b/>
        </w:rPr>
        <w:t xml:space="preserve">Product Lifespan (zxgqrrxuyw):</w:t>
      </w:r>
      <w:r>
        <w:t xml:space="preserve"> </w:t>
      </w:r>
      <w:r>
        <w:t xml:space="preserve">5 years</w:t>
      </w:r>
    </w:p>
    <w:p>
      <w:pPr>
        <w:numPr>
          <w:ilvl w:val="0"/>
          <w:numId w:val="1006"/>
        </w:numPr>
        <w:pStyle w:val="Compact"/>
      </w:pPr>
      <w:r>
        <w:rPr>
          <w:bCs/>
          <w:b/>
        </w:rPr>
        <w:t xml:space="preserve">Energy Consumption in Use (uilnzrveil):</w:t>
      </w:r>
      <w:r>
        <w:t xml:space="preserve"> </w:t>
      </w:r>
      <w:r>
        <w:t xml:space="preserve">10 kWh/year</w:t>
      </w:r>
    </w:p>
    <w:bookmarkEnd w:id="28"/>
    <w:bookmarkStart w:id="29" w:name="end-of-life-eol-scenarios"/>
    <w:p>
      <w:pPr>
        <w:pStyle w:val="Heading3"/>
      </w:pPr>
      <w:r>
        <w:t xml:space="preserve">End-of-Life (EoL) Scenarios</w:t>
      </w:r>
    </w:p>
    <w:p>
      <w:pPr>
        <w:numPr>
          <w:ilvl w:val="0"/>
          <w:numId w:val="1007"/>
        </w:numPr>
        <w:pStyle w:val="Compact"/>
      </w:pPr>
      <w:r>
        <w:rPr>
          <w:bCs/>
          <w:b/>
        </w:rPr>
        <w:t xml:space="preserve">Recyclability Percentage (umemykqwiw):</w:t>
      </w:r>
      <w:r>
        <w:t xml:space="preserve"> </w:t>
      </w:r>
      <w:r>
        <w:t xml:space="preserve">70% of total product weight.</w:t>
      </w:r>
    </w:p>
    <w:p>
      <w:pPr>
        <w:numPr>
          <w:ilvl w:val="0"/>
          <w:numId w:val="1007"/>
        </w:numPr>
        <w:pStyle w:val="Compact"/>
      </w:pPr>
      <w:r>
        <w:rPr>
          <w:bCs/>
          <w:b/>
        </w:rPr>
        <w:t xml:space="preserve">Circular/Take-back Programs (kssfzdhjqo):</w:t>
      </w:r>
      <w:r>
        <w:t xml:space="preserve"> </w:t>
      </w:r>
      <w:r>
        <w:t xml:space="preserve">Yes, via authorized collection points.</w:t>
      </w:r>
    </w:p>
    <w:bookmarkEnd w:id="29"/>
    <w:bookmarkStart w:id="30" w:name="emission-factors-used-secondary-data"/>
    <w:p>
      <w:pPr>
        <w:pStyle w:val="Heading3"/>
      </w:pPr>
      <w:r>
        <w:t xml:space="preserve">Emission Factors Used (Secondary Data)</w:t>
      </w:r>
    </w:p>
    <w:p>
      <w:pPr>
        <w:pStyle w:val="FirstParagraph"/>
      </w:pPr>
      <w:r>
        <w:t xml:space="preserve">Industry-standard emission factors were sourced from databases such as Ecoinvent/DEFRA and other reputable studies.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Activity/Source</w:t>
            </w:r>
          </w:p>
        </w:tc>
        <w:tc>
          <w:tcPr/>
          <w:p>
            <w:pPr>
              <w:pStyle w:val="Compact"/>
              <w:jc w:val="left"/>
            </w:pPr>
            <w:r>
              <w:t xml:space="preserve">Emission Factor (kgCO2e/unit)</w:t>
            </w:r>
          </w:p>
        </w:tc>
        <w:tc>
          <w:tcPr/>
          <w:p>
            <w:pPr>
              <w:pStyle w:val="Compact"/>
              <w:jc w:val="left"/>
            </w:pPr>
            <w:r>
              <w:t xml:space="preserve">Reference</w:t>
            </w:r>
          </w:p>
        </w:tc>
      </w:tr>
      <w:tr>
        <w:tc>
          <w:tcPr/>
          <w:p>
            <w:pPr>
              <w:pStyle w:val="Compact"/>
              <w:jc w:val="left"/>
            </w:pPr>
            <w:r>
              <w:t xml:space="preserve">Materials</w:t>
            </w:r>
          </w:p>
        </w:tc>
        <w:tc>
          <w:tcPr/>
          <w:p>
            <w:pPr>
              <w:pStyle w:val="Compact"/>
              <w:jc w:val="left"/>
            </w:pPr>
            <w:r>
              <w:t xml:space="preserve">Aluminum Alloy (Primary)</w:t>
            </w:r>
          </w:p>
        </w:tc>
        <w:tc>
          <w:tcPr/>
          <w:p>
            <w:pPr>
              <w:pStyle w:val="Compact"/>
              <w:jc w:val="left"/>
            </w:pPr>
            <w:r>
              <w:t xml:space="preserve">8.0 kgCO2e/kg</w:t>
            </w:r>
          </w:p>
        </w:tc>
        <w:tc>
          <w:tcPr/>
          <w:p>
            <w:pPr>
              <w:pStyle w:val="Compact"/>
              <w:jc w:val="left"/>
            </w:pPr>
            <w:r>
              <w:t xml:space="preserve">Illustrative (e.g., within range of 14.77 kg/kg)</w:t>
            </w:r>
          </w:p>
        </w:tc>
      </w:tr>
      <w:tr>
        <w:tc>
          <w:tcPr/>
          <w:p>
            <w:pPr>
              <w:pStyle w:val="Compact"/>
              <w:jc w:val="left"/>
            </w:pPr>
            <w:r>
              <w:t xml:space="preserve">Materials</w:t>
            </w:r>
          </w:p>
        </w:tc>
        <w:tc>
          <w:tcPr/>
          <w:p>
            <w:pPr>
              <w:pStyle w:val="Compact"/>
              <w:jc w:val="left"/>
            </w:pPr>
            <w:r>
              <w:t xml:space="preserve">ABS Plastic (Production)</w:t>
            </w:r>
          </w:p>
        </w:tc>
        <w:tc>
          <w:tcPr/>
          <w:p>
            <w:pPr>
              <w:pStyle w:val="Compact"/>
              <w:jc w:val="left"/>
            </w:pPr>
            <w:r>
              <w:t xml:space="preserve">3.125 kgCO2e/kg</w:t>
            </w:r>
          </w:p>
        </w:tc>
        <w:tc>
          <w:tcPr/>
          <w:p>
            <w:pPr>
              <w:pStyle w:val="Compact"/>
              <w:jc w:val="left"/>
            </w:pPr>
            <w:r>
              <w:t xml:space="preserve">Climatiq, Plastics Europe</w:t>
            </w:r>
          </w:p>
        </w:tc>
      </w:tr>
      <w:tr>
        <w:tc>
          <w:tcPr/>
          <w:p>
            <w:pPr>
              <w:pStyle w:val="Compact"/>
              <w:jc w:val="left"/>
            </w:pPr>
            <w:r>
              <w:t xml:space="preserve">Materials</w:t>
            </w:r>
          </w:p>
        </w:tc>
        <w:tc>
          <w:tcPr/>
          <w:p>
            <w:pPr>
              <w:pStyle w:val="Compact"/>
              <w:jc w:val="left"/>
            </w:pPr>
            <w:r>
              <w:t xml:space="preserve">Electronic Chipset (Manufacturing)</w:t>
            </w:r>
          </w:p>
        </w:tc>
        <w:tc>
          <w:tcPr/>
          <w:p>
            <w:pPr>
              <w:pStyle w:val="Compact"/>
              <w:jc w:val="left"/>
            </w:pPr>
            <w:r>
              <w:t xml:space="preserve">50.0 kgCO2e/kg</w:t>
            </w:r>
          </w:p>
        </w:tc>
        <w:tc>
          <w:tcPr/>
          <w:p>
            <w:pPr>
              <w:pStyle w:val="Compact"/>
              <w:jc w:val="left"/>
            </w:pPr>
            <w:r>
              <w:t xml:space="preserve">Illustrative</w:t>
            </w:r>
          </w:p>
        </w:tc>
      </w:tr>
      <w:tr>
        <w:tc>
          <w:tcPr/>
          <w:p>
            <w:pPr>
              <w:pStyle w:val="Compact"/>
              <w:jc w:val="left"/>
            </w:pPr>
            <w:r>
              <w:t xml:space="preserve">Materials</w:t>
            </w:r>
          </w:p>
        </w:tc>
        <w:tc>
          <w:tcPr/>
          <w:p>
            <w:pPr>
              <w:pStyle w:val="Compact"/>
              <w:jc w:val="left"/>
            </w:pPr>
            <w:r>
              <w:t xml:space="preserve">Copper Wire (Drawing)</w:t>
            </w:r>
          </w:p>
        </w:tc>
        <w:tc>
          <w:tcPr/>
          <w:p>
            <w:pPr>
              <w:pStyle w:val="Compact"/>
              <w:jc w:val="left"/>
            </w:pPr>
            <w:r>
              <w:t xml:space="preserve">4.0 kgCO2e/kg</w:t>
            </w:r>
          </w:p>
        </w:tc>
        <w:tc>
          <w:tcPr/>
          <w:p>
            <w:pPr>
              <w:pStyle w:val="Compact"/>
              <w:jc w:val="left"/>
            </w:pPr>
            <w:r>
              <w:t xml:space="preserve">Illustrative (referencing general copper EFs)</w:t>
            </w:r>
          </w:p>
        </w:tc>
      </w:tr>
      <w:tr>
        <w:tc>
          <w:tcPr/>
          <w:p>
            <w:pPr>
              <w:pStyle w:val="Compact"/>
              <w:jc w:val="left"/>
            </w:pPr>
            <w:r>
              <w:t xml:space="preserve">Materials</w:t>
            </w:r>
          </w:p>
        </w:tc>
        <w:tc>
          <w:tcPr/>
          <w:p>
            <w:pPr>
              <w:pStyle w:val="Compact"/>
              <w:jc w:val="left"/>
            </w:pPr>
            <w:r>
              <w:t xml:space="preserve">Packaging Cardboard (Virgin Pulp)</w:t>
            </w:r>
          </w:p>
        </w:tc>
        <w:tc>
          <w:tcPr/>
          <w:p>
            <w:pPr>
              <w:pStyle w:val="Compact"/>
              <w:jc w:val="left"/>
            </w:pPr>
            <w:r>
              <w:t xml:space="preserve">1.20 kgCO2e/kg</w:t>
            </w:r>
          </w:p>
        </w:tc>
        <w:tc>
          <w:tcPr/>
          <w:p>
            <w:pPr>
              <w:pStyle w:val="Compact"/>
              <w:jc w:val="left"/>
            </w:pPr>
            <w:r>
              <w:t xml:space="preserve">OpenCO2.net/Defra</w:t>
            </w:r>
          </w:p>
        </w:tc>
      </w:tr>
      <w:tr>
        <w:tc>
          <w:tcPr/>
          <w:p>
            <w:pPr>
              <w:pStyle w:val="Compact"/>
              <w:jc w:val="left"/>
            </w:pPr>
            <w:r>
              <w:t xml:space="preserve">Electricity (Production)</w:t>
            </w:r>
          </w:p>
        </w:tc>
        <w:tc>
          <w:tcPr/>
          <w:p>
            <w:pPr>
              <w:pStyle w:val="Compact"/>
              <w:jc w:val="left"/>
            </w:pPr>
            <w:r>
              <w:t xml:space="preserve">China Grid Mix (average)</w:t>
            </w:r>
          </w:p>
        </w:tc>
        <w:tc>
          <w:tcPr/>
          <w:p>
            <w:pPr>
              <w:pStyle w:val="Compact"/>
              <w:jc w:val="left"/>
            </w:pPr>
            <w:r>
              <w:t xml:space="preserve">0.6 kgCO2e/kWh</w:t>
            </w:r>
          </w:p>
        </w:tc>
        <w:tc>
          <w:tcPr/>
          <w:p>
            <w:pPr>
              <w:pStyle w:val="Compact"/>
              <w:jc w:val="left"/>
            </w:pPr>
            <w:r>
              <w:t xml:space="preserve">Illustrative (similar to)</w:t>
            </w:r>
          </w:p>
        </w:tc>
      </w:tr>
      <w:tr>
        <w:tc>
          <w:tcPr/>
          <w:p>
            <w:pPr>
              <w:pStyle w:val="Compact"/>
              <w:jc w:val="left"/>
            </w:pPr>
            <w:r>
              <w:t xml:space="preserve">Electricity (Use Phase)</w:t>
            </w:r>
          </w:p>
        </w:tc>
        <w:tc>
          <w:tcPr/>
          <w:p>
            <w:pPr>
              <w:pStyle w:val="Compact"/>
              <w:jc w:val="left"/>
            </w:pPr>
            <w:r>
              <w:t xml:space="preserve">Europe Grid Mix (average, 2024)</w:t>
            </w:r>
          </w:p>
        </w:tc>
        <w:tc>
          <w:tcPr/>
          <w:p>
            <w:pPr>
              <w:pStyle w:val="Compact"/>
              <w:jc w:val="left"/>
            </w:pPr>
            <w:r>
              <w:t xml:space="preserve">0.181 kgCO2e/kWh</w:t>
            </w:r>
          </w:p>
        </w:tc>
        <w:tc>
          <w:tcPr/>
          <w:p>
            <w:pPr>
              <w:pStyle w:val="Compact"/>
              <w:jc w:val="left"/>
            </w:pPr>
            <w:r>
              <w:t xml:space="preserve">PwC France</w:t>
            </w:r>
          </w:p>
        </w:tc>
      </w:tr>
      <w:tr>
        <w:tc>
          <w:tcPr/>
          <w:p>
            <w:pPr>
              <w:pStyle w:val="Compact"/>
              <w:jc w:val="left"/>
            </w:pPr>
            <w:r>
              <w:t xml:space="preserve">Transport</w:t>
            </w:r>
          </w:p>
        </w:tc>
        <w:tc>
          <w:tcPr/>
          <w:p>
            <w:pPr>
              <w:pStyle w:val="Compact"/>
              <w:jc w:val="left"/>
            </w:pPr>
            <w:r>
              <w:t xml:space="preserve">Ocean Freight (Large Container Ship)</w:t>
            </w:r>
          </w:p>
        </w:tc>
        <w:tc>
          <w:tcPr/>
          <w:p>
            <w:pPr>
              <w:pStyle w:val="Compact"/>
              <w:jc w:val="left"/>
            </w:pPr>
            <w:r>
              <w:t xml:space="preserve">0.016 kgCO2e/tkm</w:t>
            </w:r>
          </w:p>
        </w:tc>
        <w:tc>
          <w:tcPr/>
          <w:p>
            <w:pPr>
              <w:pStyle w:val="Compact"/>
              <w:jc w:val="left"/>
            </w:pPr>
            <w:r>
              <w:t xml:space="preserve">Climatiq</w:t>
            </w:r>
          </w:p>
        </w:tc>
      </w:tr>
      <w:tr>
        <w:tc>
          <w:tcPr/>
          <w:p>
            <w:pPr>
              <w:pStyle w:val="Compact"/>
              <w:jc w:val="left"/>
            </w:pPr>
            <w:r>
              <w:t xml:space="preserve">Transport</w:t>
            </w:r>
          </w:p>
        </w:tc>
        <w:tc>
          <w:tcPr/>
          <w:p>
            <w:pPr>
              <w:pStyle w:val="Compact"/>
              <w:jc w:val="left"/>
            </w:pPr>
            <w:r>
              <w:t xml:space="preserve">Road Freight (HGV, average laden)</w:t>
            </w:r>
          </w:p>
        </w:tc>
        <w:tc>
          <w:tcPr/>
          <w:p>
            <w:pPr>
              <w:pStyle w:val="Compact"/>
              <w:jc w:val="left"/>
            </w:pPr>
            <w:r>
              <w:t xml:space="preserve">0.080 kgCO2e/tkm</w:t>
            </w:r>
          </w:p>
        </w:tc>
        <w:tc>
          <w:tcPr/>
          <w:p>
            <w:pPr>
              <w:pStyle w:val="Compact"/>
              <w:jc w:val="left"/>
            </w:pPr>
            <w:r>
              <w:t xml:space="preserve">Illustrative (within range of)</w:t>
            </w:r>
          </w:p>
        </w:tc>
      </w:tr>
      <w:tr>
        <w:tc>
          <w:tcPr/>
          <w:p>
            <w:pPr>
              <w:pStyle w:val="Compact"/>
              <w:jc w:val="left"/>
            </w:pPr>
            <w:r>
              <w:t xml:space="preserve">Transport</w:t>
            </w:r>
          </w:p>
        </w:tc>
        <w:tc>
          <w:tcPr/>
          <w:p>
            <w:pPr>
              <w:pStyle w:val="Compact"/>
              <w:jc w:val="left"/>
            </w:pPr>
            <w:r>
              <w:t xml:space="preserve">Road Freight (LCV/Van, Last-Mile)</w:t>
            </w:r>
          </w:p>
        </w:tc>
        <w:tc>
          <w:tcPr/>
          <w:p>
            <w:pPr>
              <w:pStyle w:val="Compact"/>
              <w:jc w:val="left"/>
            </w:pPr>
            <w:r>
              <w:t xml:space="preserve">0.150 kgCO2e/tkm</w:t>
            </w:r>
          </w:p>
        </w:tc>
        <w:tc>
          <w:tcPr/>
          <w:p>
            <w:pPr>
              <w:pStyle w:val="Compact"/>
              <w:jc w:val="left"/>
            </w:pPr>
            <w:r>
              <w:t xml:space="preserve">Illustrative</w:t>
            </w:r>
          </w:p>
        </w:tc>
      </w:tr>
      <w:tr>
        <w:tc>
          <w:tcPr/>
          <w:p>
            <w:pPr>
              <w:pStyle w:val="Compact"/>
              <w:jc w:val="left"/>
            </w:pPr>
            <w:r>
              <w:t xml:space="preserve">EoL</w:t>
            </w:r>
          </w:p>
        </w:tc>
        <w:tc>
          <w:tcPr/>
          <w:p>
            <w:pPr>
              <w:pStyle w:val="Compact"/>
              <w:jc w:val="left"/>
            </w:pPr>
            <w:r>
              <w:t xml:space="preserve">Recycling Credit (Plastics, per kg recycled vs. virgin)</w:t>
            </w:r>
          </w:p>
        </w:tc>
        <w:tc>
          <w:tcPr/>
          <w:p>
            <w:pPr>
              <w:pStyle w:val="Compact"/>
              <w:jc w:val="left"/>
            </w:pPr>
            <w:r>
              <w:t xml:space="preserve">-0.75 kgCO2e/kg avoided</w:t>
            </w:r>
          </w:p>
        </w:tc>
        <w:tc>
          <w:tcPr/>
          <w:p>
            <w:pPr>
              <w:pStyle w:val="Compact"/>
              <w:jc w:val="left"/>
            </w:pPr>
            <w:r>
              <w:t xml:space="preserve">Nando, EPA</w:t>
            </w:r>
          </w:p>
        </w:tc>
      </w:tr>
      <w:tr>
        <w:tc>
          <w:tcPr/>
          <w:p>
            <w:pPr>
              <w:pStyle w:val="Compact"/>
              <w:jc w:val="left"/>
            </w:pPr>
            <w:r>
              <w:t xml:space="preserve">EoL</w:t>
            </w:r>
          </w:p>
        </w:tc>
        <w:tc>
          <w:tcPr/>
          <w:p>
            <w:pPr>
              <w:pStyle w:val="Compact"/>
              <w:jc w:val="left"/>
            </w:pPr>
            <w:r>
              <w:t xml:space="preserve">Recycling Credit (Aluminum, per kg recycled vs. virgin)</w:t>
            </w:r>
          </w:p>
        </w:tc>
        <w:tc>
          <w:tcPr/>
          <w:p>
            <w:pPr>
              <w:pStyle w:val="Compact"/>
              <w:jc w:val="left"/>
            </w:pPr>
            <w:r>
              <w:t xml:space="preserve">-7.52 kgCO2e/kg avoided (approx 6% of virgin EF)</w:t>
            </w:r>
          </w:p>
        </w:tc>
        <w:tc>
          <w:tcPr/>
          <w:p>
            <w:pPr>
              <w:pStyle w:val="Compact"/>
              <w:jc w:val="left"/>
            </w:pPr>
            <w:r>
              <w:t xml:space="preserve">RMI, EPA</w:t>
            </w:r>
          </w:p>
        </w:tc>
      </w:tr>
      <w:tr>
        <w:tc>
          <w:tcPr/>
          <w:p>
            <w:pPr>
              <w:pStyle w:val="Compact"/>
              <w:jc w:val="left"/>
            </w:pPr>
            <w:r>
              <w:t xml:space="preserve">EoL</w:t>
            </w:r>
          </w:p>
        </w:tc>
        <w:tc>
          <w:tcPr/>
          <w:p>
            <w:pPr>
              <w:pStyle w:val="Compact"/>
              <w:jc w:val="left"/>
            </w:pPr>
            <w:r>
              <w:t xml:space="preserve">Disposal (Landfill/Incineration)</w:t>
            </w:r>
          </w:p>
        </w:tc>
        <w:tc>
          <w:tcPr/>
          <w:p>
            <w:pPr>
              <w:pStyle w:val="Compact"/>
              <w:jc w:val="left"/>
            </w:pPr>
            <w:r>
              <w:t xml:space="preserve">1.0 kgCO2e/kg</w:t>
            </w:r>
          </w:p>
        </w:tc>
        <w:tc>
          <w:tcPr/>
          <w:p>
            <w:pPr>
              <w:pStyle w:val="Compact"/>
              <w:jc w:val="left"/>
            </w:pPr>
            <w:r>
              <w:t xml:space="preserve">Illustrative</w:t>
            </w:r>
          </w:p>
        </w:tc>
      </w:tr>
    </w:tbl>
    <w:bookmarkEnd w:id="30"/>
    <w:bookmarkEnd w:id="31"/>
    <w:p>
      <w:r>
        <w:pict>
          <v:rect style="width:0;height:1.5pt" o:hralign="center" o:hrstd="t" o:hr="t"/>
        </w:pict>
      </w:r>
    </w:p>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w:t>
      </w:r>
    </w:p>
    <w:bookmarkStart w:id="32" w:name="scope-1-direct-ghg-emissions"/>
    <w:p>
      <w:pPr>
        <w:pStyle w:val="Heading3"/>
      </w:pPr>
      <w:r>
        <w:t xml:space="preserve">Scope 1: Direct GHG Emissions</w:t>
      </w:r>
    </w:p>
    <w:p>
      <w:pPr>
        <w:pStyle w:val="FirstParagraph"/>
      </w:pPr>
      <w:r>
        <w:t xml:space="preserve">These are direct emissions from sources owned or controlled by wqosnwturh, such as on-site fuel combustion for manufacturing processes not covered by purchased electricity.</w:t>
      </w:r>
    </w:p>
    <w:p>
      <w:pPr>
        <w:numPr>
          <w:ilvl w:val="0"/>
          <w:numId w:val="1008"/>
        </w:numPr>
        <w:pStyle w:val="Compact"/>
      </w:pPr>
      <w:r>
        <w:t xml:space="preserve">Minor on-site fuel combustion: 0.1 kgCO2e</w:t>
      </w:r>
    </w:p>
    <w:p>
      <w:pPr>
        <w:pStyle w:val="FirstParagraph"/>
      </w:pPr>
      <w:r>
        <w:rPr>
          <w:bCs/>
          <w:b/>
        </w:rPr>
        <w:t xml:space="preserve">Total Scope 1 Emissions: 0.1 kgCO2e</w:t>
      </w:r>
    </w:p>
    <w:bookmarkEnd w:id="32"/>
    <w:bookmarkStart w:id="33" w:name="X6b01387f66089f799ff28a4888a18f676ee9f32"/>
    <w:p>
      <w:pPr>
        <w:pStyle w:val="Heading3"/>
      </w:pPr>
      <w:r>
        <w:t xml:space="preserve">Scope 2: Indirect GHG Emissions from Purchased Energy</w:t>
      </w:r>
    </w:p>
    <w:p>
      <w:pPr>
        <w:pStyle w:val="FirstParagraph"/>
      </w:pPr>
      <w:r>
        <w:t xml:space="preserve">These are indirect emissions from the generation of purchased electricity consumed by wqosnwturh\'s manufacturing facility in China.</w:t>
      </w:r>
    </w:p>
    <w:p>
      <w:pPr>
        <w:numPr>
          <w:ilvl w:val="0"/>
          <w:numId w:val="1009"/>
        </w:numPr>
        <w:pStyle w:val="Compact"/>
      </w:pPr>
      <w:r>
        <w:t xml:space="preserve">Energy Intensity: 15 kWh/unit [cite: qxidpsiinm]</w:t>
      </w:r>
    </w:p>
    <w:p>
      <w:pPr>
        <w:numPr>
          <w:ilvl w:val="0"/>
          <w:numId w:val="1009"/>
        </w:numPr>
        <w:pStyle w:val="Compact"/>
      </w:pPr>
      <w:r>
        <w:t xml:space="preserve">Renewable Energy Usage: 50% [cite: zzlrmrzmnm]</w:t>
      </w:r>
    </w:p>
    <w:p>
      <w:pPr>
        <w:numPr>
          <w:ilvl w:val="0"/>
          <w:numId w:val="1009"/>
        </w:numPr>
        <w:pStyle w:val="Compact"/>
      </w:pPr>
      <w:r>
        <w:t xml:space="preserve">Grid Electricity Consumption: 15 kWh * (1 - 0.50) = 7.5 kWh</w:t>
      </w:r>
    </w:p>
    <w:p>
      <w:pPr>
        <w:numPr>
          <w:ilvl w:val="0"/>
          <w:numId w:val="1009"/>
        </w:numPr>
        <w:pStyle w:val="Compact"/>
      </w:pPr>
      <w:r>
        <w:t xml:space="preserve">Emission Factor (China Grid Mix): 0.6 kgCO2e/kWh (illustrative, similar to)</w:t>
      </w:r>
    </w:p>
    <w:p>
      <w:pPr>
        <w:numPr>
          <w:ilvl w:val="0"/>
          <w:numId w:val="1009"/>
        </w:numPr>
        <w:pStyle w:val="Compact"/>
      </w:pPr>
      <w:r>
        <w:t xml:space="preserve">Calculation: 7.5 kWh * 0.6 kgCO2e/kWh = 4.5 kgCO2e</w:t>
      </w:r>
    </w:p>
    <w:p>
      <w:pPr>
        <w:pStyle w:val="FirstParagraph"/>
      </w:pPr>
      <w:r>
        <w:rPr>
          <w:bCs/>
          <w:b/>
        </w:rPr>
        <w:t xml:space="preserve">Total Scope 2 Emissions: 4.5 kgCO2e</w:t>
      </w:r>
    </w:p>
    <w:bookmarkEnd w:id="33"/>
    <w:bookmarkStart w:id="40" w:name="X87297756d726aa51a7f4c6b0bd300fdfb4bdf9a"/>
    <w:p>
      <w:pPr>
        <w:pStyle w:val="Heading3"/>
      </w:pPr>
      <w:r>
        <w:t xml:space="preserve">Scope 3: Other Indirect GHG Emissions (Value Chain)</w:t>
      </w:r>
    </w:p>
    <w:p>
      <w:pPr>
        <w:pStyle w:val="FirstParagraph"/>
      </w:pPr>
      <w:r>
        <w:t xml:space="preserve">Scope 3 emissions include all other indirect emissions from the value chain, both upstream and downstream. Achieving at least **95% coverage for Scope 3 reporting** is a key focus, aligning with 2026 requirements.</w:t>
      </w:r>
    </w:p>
    <w:bookmarkStart w:id="34" w:name="Xf433b39135ba56c7f8e853d9837b5351625a170"/>
    <w:p>
      <w:pPr>
        <w:pStyle w:val="Heading4"/>
      </w:pPr>
      <w:r>
        <w:t xml:space="preserve">Category 1: Purchased Goods and Services (Material Acquisition &amp; Pre-processing)</w:t>
      </w:r>
    </w:p>
    <w:p>
      <w:pPr>
        <w:pStyle w:val="FirstParagraph"/>
      </w:pPr>
      <w:r>
        <w:t xml:space="preserve">Emissions associated with the extraction, production, and pre-processing of raw materials and components, based on the Detailed Bill of Materials.</w:t>
      </w:r>
    </w:p>
    <w:p>
      <w:pPr>
        <w:numPr>
          <w:ilvl w:val="0"/>
          <w:numId w:val="1010"/>
        </w:numPr>
        <w:pStyle w:val="Compact"/>
      </w:pPr>
      <w:r>
        <w:t xml:space="preserve">Aluminum Alloy: 0.5 kg * 8.0 kgCO2e/kg = 4.00 kgCO2e</w:t>
      </w:r>
    </w:p>
    <w:p>
      <w:pPr>
        <w:numPr>
          <w:ilvl w:val="0"/>
          <w:numId w:val="1010"/>
        </w:numPr>
        <w:pStyle w:val="Compact"/>
      </w:pPr>
      <w:r>
        <w:t xml:space="preserve">ABS Plastic: 0.8 kg * 3.125 kgCO2e/kg = 2.50 kgCO2e</w:t>
      </w:r>
    </w:p>
    <w:p>
      <w:pPr>
        <w:numPr>
          <w:ilvl w:val="0"/>
          <w:numId w:val="1010"/>
        </w:numPr>
        <w:pStyle w:val="Compact"/>
      </w:pPr>
      <w:r>
        <w:t xml:space="preserve">Electronic Chipset: 0.05 kg * 50.0 kgCO2e/kg = 2.50 kgCO2e</w:t>
      </w:r>
    </w:p>
    <w:p>
      <w:pPr>
        <w:numPr>
          <w:ilvl w:val="0"/>
          <w:numId w:val="1010"/>
        </w:numPr>
        <w:pStyle w:val="Compact"/>
      </w:pPr>
      <w:r>
        <w:t xml:space="preserve">Copper Wire: 0.2 kg * 4.0 kgCO2e/kg = 0.80 kgCO2e</w:t>
      </w:r>
    </w:p>
    <w:p>
      <w:pPr>
        <w:numPr>
          <w:ilvl w:val="0"/>
          <w:numId w:val="1010"/>
        </w:numPr>
        <w:pStyle w:val="Compact"/>
      </w:pPr>
      <w:r>
        <w:t xml:space="preserve">Packaging Cardboard: 0.3 kg * 1.20 kgCO2e/kg = 0.36 kgCO2e</w:t>
      </w:r>
    </w:p>
    <w:p>
      <w:pPr>
        <w:pStyle w:val="FirstParagraph"/>
      </w:pPr>
      <w:r>
        <w:rPr>
          <w:bCs/>
          <w:b/>
        </w:rPr>
        <w:t xml:space="preserve">Total Scope 3, Category 1 Emissions: 10.16 kgCO2e</w:t>
      </w:r>
    </w:p>
    <w:bookmarkEnd w:id="34"/>
    <w:bookmarkStart w:id="35" w:name="X6669a43143349c25ec93e775eebde43de53a73c"/>
    <w:p>
      <w:pPr>
        <w:pStyle w:val="Heading4"/>
      </w:pPr>
      <w:r>
        <w:t xml:space="preserve">Category 4: Upstream Transportation and Distribution</w:t>
      </w:r>
    </w:p>
    <w:p>
      <w:pPr>
        <w:pStyle w:val="FirstParagraph"/>
      </w:pPr>
      <w:r>
        <w:t xml:space="preserve">Emissions from the transportation of raw materials to the manufacturing facility.</w:t>
      </w:r>
    </w:p>
    <w:p>
      <w:pPr>
        <w:numPr>
          <w:ilvl w:val="0"/>
          <w:numId w:val="1011"/>
        </w:numPr>
        <w:pStyle w:val="Compact"/>
      </w:pPr>
      <w:r>
        <w:t xml:space="preserve">Product weight for transport (estimated total including packaging): 2.0 kg</w:t>
      </w:r>
    </w:p>
    <w:p>
      <w:pPr>
        <w:numPr>
          <w:ilvl w:val="0"/>
          <w:numId w:val="1011"/>
        </w:numPr>
        <w:pStyle w:val="Compact"/>
      </w:pPr>
      <w:r>
        <w:t xml:space="preserve">Ocean Freight (materials inbound to China): 2.0 kg * 15,000 km * 0.016 kgCO2e/tkm = 0.48 kgCO2e</w:t>
      </w:r>
    </w:p>
    <w:p>
      <w:pPr>
        <w:numPr>
          <w:ilvl w:val="0"/>
          <w:numId w:val="1011"/>
        </w:numPr>
        <w:pStyle w:val="Compact"/>
      </w:pPr>
      <w:r>
        <w:t xml:space="preserve">Road Freight (materials within China to factory): 2.0 kg * 500 km * 0.080 kgCO2e/tkm = 0.08 kgCO2e</w:t>
      </w:r>
    </w:p>
    <w:p>
      <w:pPr>
        <w:pStyle w:val="FirstParagraph"/>
      </w:pPr>
      <w:r>
        <w:rPr>
          <w:bCs/>
          <w:b/>
        </w:rPr>
        <w:t xml:space="preserve">Total Scope 3, Category 4 Emissions: 0.56 kgCO2e</w:t>
      </w:r>
    </w:p>
    <w:bookmarkEnd w:id="35"/>
    <w:bookmarkStart w:id="36" w:name="category-5-waste-generated-in-operations"/>
    <w:p>
      <w:pPr>
        <w:pStyle w:val="Heading4"/>
      </w:pPr>
      <w:r>
        <w:t xml:space="preserve">Category 5: Waste Generated in Operations</w:t>
      </w:r>
    </w:p>
    <w:p>
      <w:pPr>
        <w:pStyle w:val="FirstParagraph"/>
      </w:pPr>
      <w:r>
        <w:t xml:space="preserve">Emissions from waste generated in the manufacturing operations (e.g., production scrap, non-recycled waste).</w:t>
      </w:r>
    </w:p>
    <w:p>
      <w:pPr>
        <w:numPr>
          <w:ilvl w:val="0"/>
          <w:numId w:val="1012"/>
        </w:numPr>
        <w:pStyle w:val="Compact"/>
      </w:pPr>
      <w:r>
        <w:t xml:space="preserve">Production waste: 0.2 kgCO2e (illustrative placeholder)</w:t>
      </w:r>
    </w:p>
    <w:p>
      <w:pPr>
        <w:pStyle w:val="FirstParagraph"/>
      </w:pPr>
      <w:r>
        <w:rPr>
          <w:bCs/>
          <w:b/>
        </w:rPr>
        <w:t xml:space="preserve">Total Scope 3, Category 5 Emissions: 0.2 kgCO2e</w:t>
      </w:r>
    </w:p>
    <w:bookmarkEnd w:id="36"/>
    <w:bookmarkStart w:id="37" w:name="X25a0837e2ca53a982bfb6f58a50970139f4f25f"/>
    <w:p>
      <w:pPr>
        <w:pStyle w:val="Heading4"/>
      </w:pPr>
      <w:r>
        <w:t xml:space="preserve">Category 9: Downstream Transportation and Distribution</w:t>
      </w:r>
    </w:p>
    <w:p>
      <w:pPr>
        <w:pStyle w:val="FirstParagraph"/>
      </w:pPr>
      <w:r>
        <w:t xml:space="preserve">Emissions from the transportation of finished products from the manufacturing facility to the end-consumer.</w:t>
      </w:r>
    </w:p>
    <w:p>
      <w:pPr>
        <w:numPr>
          <w:ilvl w:val="0"/>
          <w:numId w:val="1013"/>
        </w:numPr>
        <w:pStyle w:val="Compact"/>
      </w:pPr>
      <w:r>
        <w:t xml:space="preserve">Road Freight (finished product from factory to port, China): 2.0 kg * 500 km * 0.080 kgCO2e/tkm = 0.08 kgCO2e</w:t>
      </w:r>
    </w:p>
    <w:p>
      <w:pPr>
        <w:numPr>
          <w:ilvl w:val="0"/>
          <w:numId w:val="1013"/>
        </w:numPr>
        <w:pStyle w:val="Compact"/>
      </w:pPr>
      <w:r>
        <w:t xml:space="preserve">Ocean Freight (finished product to Europe): 2.0 kg * 15,000 km * 0.016 kgCO2e/tkm = 0.48 kgCO2e</w:t>
      </w:r>
    </w:p>
    <w:p>
      <w:pPr>
        <w:numPr>
          <w:ilvl w:val="0"/>
          <w:numId w:val="1013"/>
        </w:numPr>
        <w:pStyle w:val="Compact"/>
      </w:pPr>
      <w:r>
        <w:t xml:space="preserve">Road Freight (Europe port to distribution center): 2.0 kg * 300 km * 0.080 kgCO2e/tkm = 0.048 kgCO2e</w:t>
      </w:r>
    </w:p>
    <w:p>
      <w:pPr>
        <w:numPr>
          <w:ilvl w:val="0"/>
          <w:numId w:val="1013"/>
        </w:numPr>
        <w:pStyle w:val="Compact"/>
      </w:pPr>
      <w:r>
        <w:t xml:space="preserve">Last-Mile Delivery (Road, Van): 2.0 kg * 100 km * 0.150 kgCO2e/tkm = 0.03 kgCO2e</w:t>
      </w:r>
    </w:p>
    <w:p>
      <w:pPr>
        <w:pStyle w:val="FirstParagraph"/>
      </w:pPr>
      <w:r>
        <w:rPr>
          <w:bCs/>
          <w:b/>
        </w:rPr>
        <w:t xml:space="preserve">Total Scope 3, Category 9 Emissions: 0.638 kgCO2e</w:t>
      </w:r>
    </w:p>
    <w:bookmarkEnd w:id="37"/>
    <w:bookmarkStart w:id="38" w:name="category-11-use-of-sold-products"/>
    <w:p>
      <w:pPr>
        <w:pStyle w:val="Heading4"/>
      </w:pPr>
      <w:r>
        <w:t xml:space="preserve">Category 11: Use of Sold Products</w:t>
      </w:r>
    </w:p>
    <w:p>
      <w:pPr>
        <w:pStyle w:val="FirstParagraph"/>
      </w:pPr>
      <w:r>
        <w:t xml:space="preserve">Emissions from energy consumption during the product\'s lifespan by the end-user.</w:t>
      </w:r>
    </w:p>
    <w:p>
      <w:pPr>
        <w:numPr>
          <w:ilvl w:val="0"/>
          <w:numId w:val="1014"/>
        </w:numPr>
        <w:pStyle w:val="Compact"/>
      </w:pPr>
      <w:r>
        <w:t xml:space="preserve">Product Lifespan: 5 years [cite: zxgqrrxuyw]</w:t>
      </w:r>
    </w:p>
    <w:p>
      <w:pPr>
        <w:numPr>
          <w:ilvl w:val="0"/>
          <w:numId w:val="1014"/>
        </w:numPr>
        <w:pStyle w:val="Compact"/>
      </w:pPr>
      <w:r>
        <w:t xml:space="preserve">Energy Consumption in Use: 10 kWh/year [cite: uilnzrveil]</w:t>
      </w:r>
    </w:p>
    <w:p>
      <w:pPr>
        <w:numPr>
          <w:ilvl w:val="0"/>
          <w:numId w:val="1014"/>
        </w:numPr>
        <w:pStyle w:val="Compact"/>
      </w:pPr>
      <w:r>
        <w:t xml:space="preserve">Total Use Phase Energy: 5 years * 10 kWh/year = 50 kWh</w:t>
      </w:r>
    </w:p>
    <w:p>
      <w:pPr>
        <w:numPr>
          <w:ilvl w:val="0"/>
          <w:numId w:val="1014"/>
        </w:numPr>
        <w:pStyle w:val="Compact"/>
      </w:pPr>
      <w:r>
        <w:t xml:space="preserve">Emission Factor (Europe Grid Mix): 0.181 kgCO2e/kWh (2024 average)</w:t>
      </w:r>
    </w:p>
    <w:p>
      <w:pPr>
        <w:numPr>
          <w:ilvl w:val="0"/>
          <w:numId w:val="1014"/>
        </w:numPr>
        <w:pStyle w:val="Compact"/>
      </w:pPr>
      <w:r>
        <w:t xml:space="preserve">Calculation: 50 kWh * 0.181 kgCO2e/kWh = 9.05 kgCO2e</w:t>
      </w:r>
    </w:p>
    <w:p>
      <w:pPr>
        <w:pStyle w:val="FirstParagraph"/>
      </w:pPr>
      <w:r>
        <w:rPr>
          <w:bCs/>
          <w:b/>
        </w:rPr>
        <w:t xml:space="preserve">Total Scope 3, Category 11 Emissions: 9.05 kgCO2e</w:t>
      </w:r>
    </w:p>
    <w:bookmarkEnd w:id="38"/>
    <w:bookmarkStart w:id="39" w:name="X9f66eef2700632e081dfe139021cb724ffcd2c5"/>
    <w:p>
      <w:pPr>
        <w:pStyle w:val="Heading4"/>
      </w:pPr>
      <w:r>
        <w:t xml:space="preserve">Category 12: End-of-Life Treatment of Sold Products</w:t>
      </w:r>
    </w:p>
    <w:p>
      <w:pPr>
        <w:pStyle w:val="FirstParagraph"/>
      </w:pPr>
      <w:r>
        <w:t xml:space="preserve">Emissions and avoided emissions from the disposal, recycling, and recovery of the product at the end of its life.</w:t>
      </w:r>
    </w:p>
    <w:p>
      <w:pPr>
        <w:numPr>
          <w:ilvl w:val="0"/>
          <w:numId w:val="1015"/>
        </w:numPr>
        <w:pStyle w:val="Compact"/>
      </w:pPr>
      <w:r>
        <w:t xml:space="preserve">Total product weight for EoL (estimated): 2.0 kg</w:t>
      </w:r>
    </w:p>
    <w:p>
      <w:pPr>
        <w:numPr>
          <w:ilvl w:val="0"/>
          <w:numId w:val="1015"/>
        </w:numPr>
        <w:pStyle w:val="Compact"/>
      </w:pPr>
      <w:r>
        <w:t xml:space="preserve">Recyclability Percentage: 70% [cite: umemykqwiw]</w:t>
      </w:r>
    </w:p>
    <w:p>
      <w:pPr>
        <w:numPr>
          <w:ilvl w:val="0"/>
          <w:numId w:val="1015"/>
        </w:numPr>
        <w:pStyle w:val="Compact"/>
      </w:pPr>
      <w:r>
        <w:t xml:space="preserve">Recycled portion: 2.0 kg * 0.70 = 1.4 kg</w:t>
      </w:r>
    </w:p>
    <w:p>
      <w:pPr>
        <w:numPr>
          <w:ilvl w:val="0"/>
          <w:numId w:val="1015"/>
        </w:numPr>
        <w:pStyle w:val="Compact"/>
      </w:pPr>
      <w:r>
        <w:t xml:space="preserve">Disposed portion (landfill/incineration): 2.0 kg * 0.30 = 0.6 kg</w:t>
      </w:r>
    </w:p>
    <w:p>
      <w:pPr>
        <w:numPr>
          <w:ilvl w:val="0"/>
          <w:numId w:val="1015"/>
        </w:numPr>
        <w:pStyle w:val="Compact"/>
      </w:pPr>
      <w:r>
        <w:rPr>
          <w:bCs/>
          <w:b/>
        </w:rPr>
        <w:t xml:space="preserve">Recycling Credits:</w:t>
      </w:r>
    </w:p>
    <w:p>
      <w:pPr>
        <w:numPr>
          <w:ilvl w:val="1"/>
          <w:numId w:val="1016"/>
        </w:numPr>
        <w:pStyle w:val="Compact"/>
      </w:pPr>
      <w:r>
        <w:t xml:space="preserve">For plastics (0.8 kg from BOM): Using an average avoided emission of -0.75 kgCO2e/kg for recycled plastic vs. virgin. This results in a credit of 0.8 kg * -0.75 kgCO2e/kg = -0.6 kgCO2e.</w:t>
      </w:r>
    </w:p>
    <w:p>
      <w:pPr>
        <w:numPr>
          <w:ilvl w:val="1"/>
          <w:numId w:val="1016"/>
        </w:numPr>
        <w:pStyle w:val="Compact"/>
      </w:pPr>
      <w:r>
        <w:t xml:space="preserve">For metals (Aluminum 0.5 kg, Copper 0.2 kg from BOM, total 0.7 kg): Assuming a composite recycling credit. For Aluminum, recycled production can be around 6% of primary, leading to significant avoided emissions. For simplicity and to represent a mix of materials, a blended average of approximately 60% GHG reduction for recycled materials compared to virgin is applied for the 1.4 kg recycled portion based on the average material EF. Using an average virgin material EF from BOM of ~5.2 kgCO2e/kg, credit for 1.4 kg recycled * 5.2 kgCO2e/kg * -0.60 = -4.368 kgCO2e.</w:t>
      </w:r>
    </w:p>
    <w:p>
      <w:pPr>
        <w:numPr>
          <w:ilvl w:val="0"/>
          <w:numId w:val="1015"/>
        </w:numPr>
        <w:pStyle w:val="Compact"/>
      </w:pPr>
      <w:r>
        <w:rPr>
          <w:bCs/>
          <w:b/>
        </w:rPr>
        <w:t xml:space="preserve">Disposal Emissions:</w:t>
      </w:r>
      <w:r>
        <w:t xml:space="preserve"> </w:t>
      </w:r>
      <w:r>
        <w:t xml:space="preserve">0.6 kg (disposed) * 1.0 kgCO2e/kg (illustrative EF) = 0.6 kgCO2e</w:t>
      </w:r>
    </w:p>
    <w:p>
      <w:pPr>
        <w:numPr>
          <w:ilvl w:val="0"/>
          <w:numId w:val="1015"/>
        </w:numPr>
        <w:pStyle w:val="Compact"/>
      </w:pPr>
      <w:r>
        <w:t xml:space="preserve">Net EoL Impact: -4.368 kgCO2e + 0.6 kgCO2e = -3.768 kgCO2e</w:t>
      </w:r>
    </w:p>
    <w:p>
      <w:pPr>
        <w:pStyle w:val="FirstParagraph"/>
      </w:pPr>
      <w:r>
        <w:rPr>
          <w:bCs/>
          <w:b/>
        </w:rPr>
        <w:t xml:space="preserve">Total Scope 3, Category 12 Emissions: -3.768 kgCO2e</w:t>
      </w:r>
    </w:p>
    <w:bookmarkEnd w:id="39"/>
    <w:bookmarkEnd w:id="40"/>
    <w:bookmarkStart w:id="41" w:name="Xe5d05a121aa52d02c8d86a52227cfc796207845"/>
    <w:p>
      <w:pPr>
        <w:pStyle w:val="Heading3"/>
      </w:pPr>
      <w:r>
        <w:t xml:space="preserve">Summary of Product Carbon Footprint (PCF)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w:t>
            </w:r>
          </w:p>
        </w:tc>
        <w:tc>
          <w:tcPr/>
          <w:p>
            <w:pPr>
              <w:pStyle w:val="Compact"/>
              <w:jc w:val="left"/>
            </w:pPr>
            <w:r>
              <w:t xml:space="preserve">GHG Emissions (kgCO2e/unit)</w:t>
            </w:r>
          </w:p>
        </w:tc>
      </w:tr>
      <w:tr>
        <w:tc>
          <w:tcPr/>
          <w:p>
            <w:pPr>
              <w:pStyle w:val="Compact"/>
              <w:jc w:val="left"/>
            </w:pPr>
            <w:r>
              <w:t xml:space="preserve">Scope 1 (Direct Emissions)</w:t>
            </w:r>
          </w:p>
        </w:tc>
        <w:tc>
          <w:tcPr/>
          <w:p>
            <w:pPr>
              <w:pStyle w:val="Compact"/>
              <w:jc w:val="left"/>
            </w:pPr>
            <w:r>
              <w:t xml:space="preserve">0.10</w:t>
            </w:r>
          </w:p>
        </w:tc>
      </w:tr>
      <w:tr>
        <w:tc>
          <w:tcPr/>
          <w:p>
            <w:pPr>
              <w:pStyle w:val="Compact"/>
              <w:jc w:val="left"/>
            </w:pPr>
            <w:r>
              <w:t xml:space="preserve">Scope 2 (Purchased Electricity)</w:t>
            </w:r>
          </w:p>
        </w:tc>
        <w:tc>
          <w:tcPr/>
          <w:p>
            <w:pPr>
              <w:pStyle w:val="Compact"/>
              <w:jc w:val="left"/>
            </w:pPr>
            <w:r>
              <w:t xml:space="preserve">4.50</w:t>
            </w:r>
          </w:p>
        </w:tc>
      </w:tr>
      <w:tr>
        <w:tc>
          <w:tcPr/>
          <w:p>
            <w:pPr>
              <w:pStyle w:val="Compact"/>
              <w:jc w:val="left"/>
            </w:pPr>
            <w:r>
              <w:t xml:space="preserve">Scope 3 (Value Chain Emissions)</w:t>
            </w:r>
          </w:p>
        </w:tc>
        <w:tc>
          <w:tcPr/>
          <w:p>
            <w:pPr>
              <w:pStyle w:val="Compact"/>
              <w:jc w:val="left"/>
            </w:pPr>
            <w:r>
              <w:t xml:space="preserve">16.84</w:t>
            </w:r>
          </w:p>
        </w:tc>
      </w:tr>
      <w:tr>
        <w:tc>
          <w:tcPr/>
          <w:p>
            <w:pPr>
              <w:pStyle w:val="Compact"/>
              <w:jc w:val="left"/>
            </w:pPr>
            <w:r>
              <w:rPr>
                <w:bCs/>
                <w:b/>
              </w:rPr>
              <w:t xml:space="preserve">Total Product Carbon Footprint (PCF)</w:t>
            </w:r>
          </w:p>
        </w:tc>
        <w:tc>
          <w:tcPr/>
          <w:p>
            <w:pPr>
              <w:pStyle w:val="Compact"/>
              <w:jc w:val="left"/>
            </w:pPr>
            <w:r>
              <w:rPr>
                <w:bCs/>
                <w:b/>
              </w:rPr>
              <w:t xml:space="preserve">21.44</w:t>
            </w:r>
          </w:p>
        </w:tc>
      </w:tr>
    </w:tbl>
    <w:bookmarkEnd w:id="41"/>
    <w:bookmarkStart w:id="42" w:name="detailed-scope-3-breakdown"/>
    <w:p>
      <w:pPr>
        <w:pStyle w:val="Heading3"/>
      </w:pPr>
      <w:r>
        <w:t xml:space="preserve">Detailed Scope 3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GHG Emissions (kgCO2e/unit)</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10.16</w:t>
            </w:r>
          </w:p>
        </w:tc>
      </w:tr>
      <w:tr>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0.56</w:t>
            </w:r>
          </w:p>
        </w:tc>
      </w:tr>
      <w:tr>
        <w:tc>
          <w:tcPr/>
          <w:p>
            <w:pPr>
              <w:pStyle w:val="Compact"/>
              <w:jc w:val="left"/>
            </w:pPr>
            <w:r>
              <w:t xml:space="preserve">Category 5</w:t>
            </w:r>
          </w:p>
        </w:tc>
        <w:tc>
          <w:tcPr/>
          <w:p>
            <w:pPr>
              <w:pStyle w:val="Compact"/>
              <w:jc w:val="left"/>
            </w:pPr>
            <w:r>
              <w:t xml:space="preserve">Waste Generated in Operations</w:t>
            </w:r>
          </w:p>
        </w:tc>
        <w:tc>
          <w:tcPr/>
          <w:p>
            <w:pPr>
              <w:pStyle w:val="Compact"/>
              <w:jc w:val="left"/>
            </w:pPr>
            <w:r>
              <w:t xml:space="preserve">0.20</w:t>
            </w:r>
          </w:p>
        </w:tc>
      </w:tr>
      <w:tr>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0.64</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9.05</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-3.77</w:t>
            </w:r>
          </w:p>
        </w:tc>
      </w:tr>
      <w:tr>
        <w:tc>
          <w:tcPr>
            <w:gridSpan w:val="2"/>
          </w:tcPr>
          <w:p>
            <w:pPr>
              <w:pStyle w:val="Compact"/>
              <w:jc w:val="right"/>
            </w:pPr>
            <w:r>
              <w:rPr>
                <w:bCs/>
                <w:b/>
              </w:rPr>
              <w:t xml:space="preserve">Total Scope 3 Emissions</w:t>
            </w:r>
          </w:p>
        </w:tc>
        <w:tc>
          <w:tcPr/>
          <w:p>
            <w:pPr>
              <w:pStyle w:val="Compact"/>
              <w:jc w:val="left"/>
            </w:pPr>
            <w:r>
              <w:rPr>
                <w:bCs/>
                <w:b/>
              </w:rPr>
              <w:t xml:space="preserve">16.84</w:t>
            </w:r>
          </w:p>
        </w:tc>
      </w:tr>
    </w:tbl>
    <w:bookmarkEnd w:id="42"/>
    <w:bookmarkEnd w:id="43"/>
    <w:p>
      <w:r>
        <w:pict>
          <v:rect style="width:0;height:1.5pt" o:hralign="center" o:hrstd="t" o:hr="t"/>
        </w:pict>
      </w:r>
    </w:p>
    <w:bookmarkStart w:id="47"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identifies the following primary emission hotspots for hxgquwlevd:</w:t>
      </w:r>
    </w:p>
    <w:p>
      <w:pPr>
        <w:numPr>
          <w:ilvl w:val="0"/>
          <w:numId w:val="1017"/>
        </w:numPr>
        <w:pStyle w:val="Compact"/>
      </w:pPr>
      <w:r>
        <w:rPr>
          <w:bCs/>
          <w:b/>
        </w:rPr>
        <w:t xml:space="preserve">Material Acquisition (Scope 3, Category 1):</w:t>
      </w:r>
      <w:r>
        <w:t xml:space="preserve"> </w:t>
      </w:r>
      <w:r>
        <w:t xml:space="preserve">This stage represents the largest portion of the PCF, primarily due to the energy-intensive production of raw materials like aluminum and electronic chipsets.</w:t>
      </w:r>
    </w:p>
    <w:p>
      <w:pPr>
        <w:numPr>
          <w:ilvl w:val="0"/>
          <w:numId w:val="1017"/>
        </w:numPr>
        <w:pStyle w:val="Compact"/>
      </w:pPr>
      <w:r>
        <w:rPr>
          <w:bCs/>
          <w:b/>
        </w:rPr>
        <w:t xml:space="preserve">Use Phase (Scope 3, Category 11):</w:t>
      </w:r>
      <w:r>
        <w:t xml:space="preserve"> </w:t>
      </w:r>
      <w:r>
        <w:t xml:space="preserve">Significant emissions arise from the electricity consumption during the 5-year lifespan of the product, despite the relatively cleaner European electricity grid mix.</w:t>
      </w:r>
    </w:p>
    <w:p>
      <w:pPr>
        <w:numPr>
          <w:ilvl w:val="0"/>
          <w:numId w:val="1017"/>
        </w:numPr>
        <w:pStyle w:val="Compact"/>
      </w:pPr>
      <w:r>
        <w:rPr>
          <w:bCs/>
          <w:b/>
        </w:rPr>
        <w:t xml:space="preserve">Manufacturing Energy (Scope 2):</w:t>
      </w:r>
      <w:r>
        <w:t xml:space="preserve"> </w:t>
      </w:r>
      <w:r>
        <w:t xml:space="preserve">While partially offset by renewable energy usage, purchased grid electricity for manufacturing in China contributes noticeably.</w:t>
      </w:r>
    </w:p>
    <w:bookmarkEnd w:id="44"/>
    <w:bookmarkStart w:id="45" w:name="reliability-and-data-quality"/>
    <w:p>
      <w:pPr>
        <w:pStyle w:val="Heading3"/>
      </w:pPr>
      <w:r>
        <w:t xml:space="preserve">Reliability and Data Quality</w:t>
      </w:r>
    </w:p>
    <w:p>
      <w:pPr>
        <w:pStyle w:val="FirstParagraph"/>
      </w:pPr>
      <w:r>
        <w:t xml:space="preserve">The reliability of this PCF analysis is contingent on the accuracy of both primary data provided and secondary emission factors. While specific data points (e.g., BOM, energy intensity, lifespan, recyclability) were provided by the user, generic industry-average emission factors were used for several processes (e.g., electronic chipset manufacturing, general transport, and EoL disposal) due to the absence of product-specific primary data. These factors are considered representative of industry averages but introduce a degree of uncertainty. Continuous improvement in data collection, especially primary data from the supply chain, will further enhance the accuracy of future assessments.</w:t>
      </w:r>
    </w:p>
    <w:bookmarkEnd w:id="45"/>
    <w:bookmarkStart w:id="46" w:name="recommendations-for-reduction"/>
    <w:p>
      <w:pPr>
        <w:pStyle w:val="Heading3"/>
      </w:pPr>
      <w:r>
        <w:t xml:space="preserve">Recommendations for Reduction</w:t>
      </w:r>
    </w:p>
    <w:p>
      <w:pPr>
        <w:pStyle w:val="FirstParagraph"/>
      </w:pPr>
      <w:r>
        <w:t xml:space="preserve">Based on the identified hotspots, wqosnwturh should focus on:</w:t>
      </w:r>
    </w:p>
    <w:p>
      <w:pPr>
        <w:numPr>
          <w:ilvl w:val="0"/>
          <w:numId w:val="1018"/>
        </w:numPr>
        <w:pStyle w:val="Compact"/>
      </w:pPr>
      <w:r>
        <w:rPr>
          <w:bCs/>
          <w:b/>
        </w:rPr>
        <w:t xml:space="preserve">Material Optimization:</w:t>
      </w:r>
      <w:r>
        <w:t xml:space="preserve"> </w:t>
      </w:r>
      <w:r>
        <w:t xml:space="preserve">Explore sourcing lower-carbon alternative materials, increasing recycled content beyond the current 70% target, and optimizing material efficiency in design.</w:t>
      </w:r>
    </w:p>
    <w:p>
      <w:pPr>
        <w:numPr>
          <w:ilvl w:val="0"/>
          <w:numId w:val="1018"/>
        </w:numPr>
        <w:pStyle w:val="Compact"/>
      </w:pPr>
      <w:r>
        <w:rPr>
          <w:bCs/>
          <w:b/>
        </w:rPr>
        <w:t xml:space="preserve">Renewable Energy Expansion:</w:t>
      </w:r>
      <w:r>
        <w:t xml:space="preserve"> </w:t>
      </w:r>
      <w:r>
        <w:t xml:space="preserve">Further increase renewable energy procurement or generation at the manufacturing facility to reduce Scope 2 emissions.</w:t>
      </w:r>
    </w:p>
    <w:p>
      <w:pPr>
        <w:numPr>
          <w:ilvl w:val="0"/>
          <w:numId w:val="1018"/>
        </w:numPr>
        <w:pStyle w:val="Compact"/>
      </w:pPr>
      <w:r>
        <w:rPr>
          <w:bCs/>
          <w:b/>
        </w:rPr>
        <w:t xml:space="preserve">Energy Efficiency in Use:</w:t>
      </w:r>
      <w:r>
        <w:t xml:space="preserve"> </w:t>
      </w:r>
      <w:r>
        <w:t xml:space="preserve">Design products for greater energy efficiency during their operational lifespan to minimize downstream Scope 3 emissions.</w:t>
      </w:r>
    </w:p>
    <w:p>
      <w:pPr>
        <w:numPr>
          <w:ilvl w:val="0"/>
          <w:numId w:val="1018"/>
        </w:numPr>
        <w:pStyle w:val="Compact"/>
      </w:pPr>
      <w:r>
        <w:rPr>
          <w:bCs/>
          <w:b/>
        </w:rPr>
        <w:t xml:space="preserve">Supply Chain Engagement:</w:t>
      </w:r>
      <w:r>
        <w:t xml:space="preserve"> </w:t>
      </w:r>
      <w:r>
        <w:t xml:space="preserve">Collaborate with suppliers to obtain more specific, primary data for purchased goods and services and encourage their decarbonization efforts.</w:t>
      </w:r>
    </w:p>
    <w:p>
      <w:pPr>
        <w:numPr>
          <w:ilvl w:val="0"/>
          <w:numId w:val="1018"/>
        </w:numPr>
        <w:pStyle w:val="Compact"/>
      </w:pPr>
      <w:r>
        <w:rPr>
          <w:bCs/>
          <w:b/>
        </w:rPr>
        <w:t xml:space="preserve">Circular Economy Initiatives:</w:t>
      </w:r>
      <w:r>
        <w:t xml:space="preserve"> </w:t>
      </w:r>
      <w:r>
        <w:t xml:space="preserve">Strengthen take-back programs (kssfzdhjqo) and explore innovative recycling technologies to maximize material recovery and further reduce End-of-Life impacts.</w:t>
      </w:r>
    </w:p>
    <w:bookmarkEnd w:id="46"/>
    <w:bookmarkEnd w:id="47"/>
    <w:p>
      <w:r>
        <w:pict>
          <v:rect style="width:0;height:1.5pt" o:hralign="center" o:hrstd="t" o:hr="t"/>
        </w:pict>
      </w:r>
    </w:p>
    <w:p>
      <w:pPr>
        <w:pStyle w:val="FirstParagraph"/>
      </w:pPr>
      <w:r>
        <w:t xml:space="preserve">Confidential - Internal Use Only | Page</w:t>
      </w:r>
      <w:r>
        <w:t xml:space="preserve"> </w:t>
      </w:r>
      <w:bookmarkStart w:id="48" w:name="pageNumbe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hxgquwlevd</dc:title>
  <dc:creator/>
  <dc:description>High-detail Product Carbon Footprint (PCF) analysis report for hxgquwlevd, following GHG Protocol standards and 2026 requirements.</dc:description>
  <dc:language>en</dc:language>
  <cp:keywords/>
  <dcterms:created xsi:type="dcterms:W3CDTF">2026-05-30T20:12:20Z</dcterms:created>
  <dcterms:modified xsi:type="dcterms:W3CDTF">2026-05-30T20:12:20Z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