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hwtydtnsee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hwtydtnsee</w:t>
      </w:r>
    </w:p>
    <w:p>
      <w:pPr>
        <w:pStyle w:val="BodyText"/>
      </w:pPr>
      <w:r>
        <w:rPr>
          <w:bCs/>
          <w:b/>
        </w:rPr>
        <w:t xml:space="preserve">Company:</w:t>
      </w:r>
      <w:r>
        <w:t xml:space="preserve"> </w:t>
      </w:r>
      <w:r>
        <w:t xml:space="preserve">ijumheiyvu</w:t>
      </w:r>
    </w:p>
    <w:p>
      <w:pPr>
        <w:pStyle w:val="BodyText"/>
      </w:pPr>
      <w:r>
        <w:rPr>
          <w:bCs/>
          <w:b/>
        </w:rPr>
        <w:t xml:space="preserve">Senior Sustainability Consultant:</w:t>
      </w:r>
      <w:r>
        <w:t xml:space="preserve"> </w:t>
      </w:r>
      <w:r>
        <w:t xml:space="preserve">jmrvfogeku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data availability.</w:t>
      </w:r>
    </w:p>
    <w:bookmarkEnd w:id="20"/>
    <w:bookmarkStart w:id="43" w:name="X29433ae16f38a408ad7b015e435c58fdb4f1462"/>
    <w:p>
      <w:pPr>
        <w:pStyle w:val="Heading1"/>
      </w:pPr>
      <w:r>
        <w:t xml:space="preserve">Product Carbon Footprint Analysis for hwtydtnsee</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"hwtydtnsee" manufactured by ijumheiyvu. Conducted by jmrvfogeku, Senior Sustainability Consultant, this analysis adheres strictly to the GHG Protocol accounting standard, incorporating the latest 2026 Land Sector and Removals (LSR) Standard updates and aiming for 95% Scope 3 coverage. The primary goal is to quantify the greenhouse gas emissions associated with the product\'s entire lifecycle, from material acquisition and production to transport, use, and end-of-life. This comprehensive assessment aims to identify emission hotspots and provide actionable insights for ijumheiyvu\'s sustainability strategy.</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was performed following the five-step methodology as outlined below, strictly adhering to the GHG Protocol Corporate Accounting and Reporting Standard and the 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identified process.</w:t>
      </w:r>
    </w:p>
    <w:p>
      <w:pPr>
        <w:numPr>
          <w:ilvl w:val="0"/>
          <w:numId w:val="1001"/>
        </w:numPr>
        <w:pStyle w:val="Compact"/>
      </w:pPr>
      <w:r>
        <w:rPr>
          <w:bCs/>
          <w:b/>
        </w:rPr>
        <w:t xml:space="preserve">Calculate Emissions:</w:t>
      </w:r>
      <w:r>
        <w:t xml:space="preserve"> </w:t>
      </w:r>
      <w:r>
        <w:t xml:space="preserve">Quantify emissions by multiplying activity data by relevant emission factors.</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bookmarkStart w:id="22" w:name="ghg-protocol-adherence-and-2026-updates"/>
    <w:p>
      <w:pPr>
        <w:pStyle w:val="Heading3"/>
      </w:pPr>
      <w:r>
        <w:t xml:space="preserve">GHG Protocol Adherence and 2026 Updates</w:t>
      </w:r>
    </w:p>
    <w:p>
      <w:pPr>
        <w:pStyle w:val="FirstParagraph"/>
      </w:pPr>
      <w:r>
        <w:t xml:space="preserve">This analysis categorizes emissions into:</w:t>
      </w:r>
    </w:p>
    <w:p>
      <w:pPr>
        <w:numPr>
          <w:ilvl w:val="0"/>
          <w:numId w:val="1002"/>
        </w:numPr>
        <w:pStyle w:val="Compact"/>
      </w:pPr>
      <w:r>
        <w:rPr>
          <w:bCs/>
          <w:b/>
        </w:rPr>
        <w:t xml:space="preserve">Scope 1 Emissions:</w:t>
      </w:r>
      <w:r>
        <w:t xml:space="preserve"> </w:t>
      </w:r>
      <w:r>
        <w:t xml:space="preserve">Direct GHG emissions from sources owned or controlled by ijumheiyvu.</w:t>
      </w:r>
    </w:p>
    <w:p>
      <w:pPr>
        <w:numPr>
          <w:ilvl w:val="0"/>
          <w:numId w:val="1002"/>
        </w:numPr>
        <w:pStyle w:val="Compact"/>
      </w:pPr>
      <w:r>
        <w:rPr>
          <w:bCs/>
          <w:b/>
        </w:rPr>
        <w:t xml:space="preserve">Scope 2 Emissions:</w:t>
      </w:r>
      <w:r>
        <w:t xml:space="preserve"> </w:t>
      </w:r>
      <w:r>
        <w:t xml:space="preserve">Indirect GHG emissions from the generation of purchased electricity, steam, heat, or cooling consumed by ijumheiyvu.</w:t>
      </w:r>
    </w:p>
    <w:p>
      <w:pPr>
        <w:numPr>
          <w:ilvl w:val="0"/>
          <w:numId w:val="1002"/>
        </w:numPr>
        <w:pStyle w:val="Compact"/>
      </w:pPr>
      <w:r>
        <w:rPr>
          <w:bCs/>
          <w:b/>
        </w:rPr>
        <w:t xml:space="preserve">Scope 3 Emissions:</w:t>
      </w:r>
      <w:r>
        <w:t xml:space="preserve"> </w:t>
      </w:r>
      <w:r>
        <w:t xml:space="preserve">All other indirect emissions occurring in the value chain of ijumheiyvu, further categorized into 15 upstream and downstream categories.</w:t>
      </w:r>
    </w:p>
    <w:p>
      <w:pPr>
        <w:pStyle w:val="FirstParagraph"/>
      </w:pPr>
      <w:r>
        <w:t xml:space="preserve">In line with the 2026 updates, the **Land Sector and Removals (LSR) Standard** has been applied for land use and carbon removals. This standard, effective January 1, 2027, establishes core requirements for companies to account for and report land management and land use change, as well as CO2 removals. Key principles include traceability, data quality, and permanence, with land sector emissions primarily falling into Scope 1 and Scope 3, and removals to be reported as a separate accounting category.</w:t>
      </w:r>
    </w:p>
    <w:p>
      <w:pPr>
        <w:pStyle w:val="BodyText"/>
      </w:pPr>
      <w:r>
        <w:t xml:space="preserve">Furthermore, **Scope 3 compliance** has ensured at least 95% coverage for required Scope 3 emissions, as per the proposed 2026 requirements. This mandates quantifying all required Scope 3 sources and justifying any exclusions to enhance completeness and comparability.</w:t>
      </w:r>
    </w:p>
    <w:p>
      <w:r>
        <w:pict>
          <v:rect style="width:0;height:1.5pt" o:hralign="center" o:hrstd="t" o:hr="t"/>
        </w:pict>
      </w:r>
    </w:p>
    <w:bookmarkEnd w:id="22"/>
    <w:bookmarkEnd w:id="23"/>
    <w:bookmarkStart w:id="31" w:name="scope-definition-and-data-collection"/>
    <w:p>
      <w:pPr>
        <w:pStyle w:val="Heading2"/>
      </w:pPr>
      <w:r>
        <w:t xml:space="preserve">3. Scope Definition and Data Collection</w:t>
      </w:r>
    </w:p>
    <w:bookmarkStart w:id="24" w:name="defined-parameters"/>
    <w:p>
      <w:pPr>
        <w:pStyle w:val="Heading3"/>
      </w:pPr>
      <w:r>
        <w:t xml:space="preserve">3.1. Defined Parameters</w:t>
      </w:r>
    </w:p>
    <w:p>
      <w:pPr>
        <w:numPr>
          <w:ilvl w:val="0"/>
          <w:numId w:val="1003"/>
        </w:numPr>
        <w:pStyle w:val="Compact"/>
      </w:pPr>
      <w:r>
        <w:rPr>
          <w:bCs/>
          <w:b/>
        </w:rPr>
        <w:t xml:space="preserve">Product Name:</w:t>
      </w:r>
      <w:r>
        <w:t xml:space="preserve"> </w:t>
      </w:r>
      <w:r>
        <w:t xml:space="preserve">hwtydtnsee</w:t>
      </w:r>
    </w:p>
    <w:p>
      <w:pPr>
        <w:numPr>
          <w:ilvl w:val="0"/>
          <w:numId w:val="1003"/>
        </w:numPr>
        <w:pStyle w:val="Compact"/>
      </w:pPr>
      <w:r>
        <w:rPr>
          <w:bCs/>
          <w:b/>
        </w:rPr>
        <w:t xml:space="preserve">Company Name:</w:t>
      </w:r>
      <w:r>
        <w:t xml:space="preserve"> </w:t>
      </w:r>
      <w:r>
        <w:t xml:space="preserve">ijumheiyvu</w:t>
      </w:r>
    </w:p>
    <w:p>
      <w:pPr>
        <w:numPr>
          <w:ilvl w:val="0"/>
          <w:numId w:val="1003"/>
        </w:numPr>
        <w:pStyle w:val="Compact"/>
      </w:pPr>
      <w:r>
        <w:rPr>
          <w:bCs/>
          <w:b/>
        </w:rPr>
        <w:t xml:space="preserve">Senior Sustainability Consultant:</w:t>
      </w:r>
      <w:r>
        <w:t xml:space="preserve"> </w:t>
      </w:r>
      <w:r>
        <w:t xml:space="preserve">jmrvfogeku</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(cradle-to-gate, with downstream phases considered as Scope 3 beyond the factory gate for completeness)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bookmarkEnd w:id="24"/>
    <w:bookmarkStart w:id="30" w:name="lifecycle-mapping-and-data-collection"/>
    <w:p>
      <w:pPr>
        <w:pStyle w:val="Heading3"/>
      </w:pPr>
      <w:r>
        <w:t xml:space="preserve">3.2. Lifecycle Mapping and Data Collection</w:t>
      </w:r>
    </w:p>
    <w:bookmarkStart w:id="25" w:name="detailed-bill-of-materials-bom-gkkqgtov"/>
    <w:p>
      <w:pPr>
        <w:pStyle w:val="Heading4"/>
      </w:pPr>
      <w:r>
        <w:t xml:space="preserve">3.2.1. Detailed Bill of Materials (BOM): gkkqgtov</w:t>
      </w:r>
    </w:p>
    <w:p>
      <w:pPr>
        <w:pStyle w:val="FirstParagraph"/>
      </w:pPr>
      <w:r>
        <w:t xml:space="preserve">The following Bill of Materials (BOM) was used for high-accuracy material impact calculation. The "Emission Factor" for each item represents its cradle-to-gate impact per unit, and "Total Carbon" is derived from multiplying "Qty" by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right"/>
            </w:pPr>
            <w:r>
              <w:rPr>
                <w:bCs/>
                <w:b/>
              </w:rPr>
              <w:t xml:space="preserve">Total Material Carbon Impact:</w:t>
            </w:r>
          </w:p>
        </w:tc>
        <w:tc>
          <w:tcPr/>
          <w:p>
            <w:pPr>
              <w:pStyle w:val="Compact"/>
              <w:jc w:val="left"/>
            </w:pPr>
            <w:r>
              <w:rPr>
                <w:bCs/>
                <w:b/>
              </w:rPr>
              <w:t xml:space="preserve">6.85 kg CO2e</w:t>
            </w:r>
          </w:p>
        </w:tc>
      </w:tr>
    </w:tbl>
    <w:p>
      <w:pPr>
        <w:pStyle w:val="BodyText"/>
      </w:pPr>
      <w:r>
        <w:t xml:space="preserve">Total Product Weight for Transport (sum of Qty, approximating 0.5 + 0.2 + 0.1 + 0.05): 0.85 kg (0.00085 tonnes).</w:t>
      </w:r>
    </w:p>
    <w:bookmarkEnd w:id="25"/>
    <w:bookmarkStart w:id="26" w:name="production-energy-customization"/>
    <w:p>
      <w:pPr>
        <w:pStyle w:val="Heading4"/>
      </w:pPr>
      <w:r>
        <w:t xml:space="preserve">3.2.2. Production Energy Customization</w:t>
      </w:r>
    </w:p>
    <w:p>
      <w:pPr>
        <w:numPr>
          <w:ilvl w:val="0"/>
          <w:numId w:val="1004"/>
        </w:numPr>
        <w:pStyle w:val="Compact"/>
      </w:pPr>
      <w:r>
        <w:rPr>
          <w:bCs/>
          <w:b/>
        </w:rPr>
        <w:t xml:space="preserve">Renewable Energy Usage:</w:t>
      </w:r>
      <w:r>
        <w:t xml:space="preserve"> </w:t>
      </w:r>
      <w:r>
        <w:t xml:space="preserve">xydjwgonnl (75%)</w:t>
      </w:r>
    </w:p>
    <w:p>
      <w:pPr>
        <w:numPr>
          <w:ilvl w:val="0"/>
          <w:numId w:val="1004"/>
        </w:numPr>
        <w:pStyle w:val="Compact"/>
      </w:pPr>
      <w:r>
        <w:rPr>
          <w:bCs/>
          <w:b/>
        </w:rPr>
        <w:t xml:space="preserve">Energy Intensity (kWh/unit):</w:t>
      </w:r>
      <w:r>
        <w:t xml:space="preserve"> </w:t>
      </w:r>
      <w:r>
        <w:t xml:space="preserve">ijuklwzzjj (0.8 kWh/unit)</w:t>
      </w:r>
    </w:p>
    <w:p>
      <w:pPr>
        <w:numPr>
          <w:ilvl w:val="0"/>
          <w:numId w:val="1004"/>
        </w:numPr>
        <w:pStyle w:val="Compact"/>
      </w:pPr>
      <w:r>
        <w:rPr>
          <w:bCs/>
          <w:b/>
        </w:rPr>
        <w:t xml:space="preserve">Non-renewable energy usage:</w:t>
      </w:r>
      <w:r>
        <w:t xml:space="preserve"> </w:t>
      </w:r>
      <w:r>
        <w:t xml:space="preserve">25%</w:t>
      </w:r>
    </w:p>
    <w:p>
      <w:pPr>
        <w:numPr>
          <w:ilvl w:val="0"/>
          <w:numId w:val="1004"/>
        </w:numPr>
        <w:pStyle w:val="Compact"/>
      </w:pPr>
      <w:r>
        <w:rPr>
          <w:bCs/>
          <w:b/>
        </w:rPr>
        <w:t xml:space="preserve">China Grid Electricity Emission Factor:</w:t>
      </w:r>
      <w:r>
        <w:t xml:space="preserve"> </w:t>
      </w:r>
      <w:r>
        <w:t xml:space="preserve">0.556 kg CO2e/kWh</w:t>
      </w:r>
    </w:p>
    <w:bookmarkEnd w:id="26"/>
    <w:bookmarkStart w:id="27" w:name="logistics-data-for-supply-chain"/>
    <w:p>
      <w:pPr>
        <w:pStyle w:val="Heading4"/>
      </w:pPr>
      <w:r>
        <w:t xml:space="preserve">3.2.3. Logistics Data for Supply Chain</w:t>
      </w:r>
    </w:p>
    <w:p>
      <w:pPr>
        <w:numPr>
          <w:ilvl w:val="0"/>
          <w:numId w:val="1005"/>
        </w:numPr>
        <w:pStyle w:val="Compact"/>
      </w:pPr>
      <w:r>
        <w:rPr>
          <w:bCs/>
          <w:b/>
        </w:rPr>
        <w:t xml:space="preserve">Transport Mode (from factory_gate):</w:t>
      </w:r>
      <w:r>
        <w:t xml:space="preserve"> </w:t>
      </w:r>
      <w:r>
        <w:t xml:space="preserve">Select Mode (assumed Road Freight for calculation)</w:t>
      </w:r>
    </w:p>
    <w:p>
      <w:pPr>
        <w:numPr>
          <w:ilvl w:val="0"/>
          <w:numId w:val="1005"/>
        </w:numPr>
        <w:pStyle w:val="Compact"/>
      </w:pPr>
      <w:r>
        <w:rPr>
          <w:bCs/>
          <w:b/>
        </w:rPr>
        <w:t xml:space="preserve">Transport Distance (from factory_gate to distribution/customer in Europe):</w:t>
      </w:r>
      <w:r>
        <w:t xml:space="preserve"> </w:t>
      </w:r>
      <w:r>
        <w:t xml:space="preserve">plroilmtlz (1500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Road Freight Emission Factor (Europe, Heavy Goods Vehicle):</w:t>
      </w:r>
      <w:r>
        <w:t xml:space="preserve"> </w:t>
      </w:r>
      <w:r>
        <w:t xml:space="preserve">0.09 kg CO2e/tonne-km</w:t>
      </w:r>
    </w:p>
    <w:bookmarkEnd w:id="27"/>
    <w:bookmarkStart w:id="28" w:name="use-phase-data"/>
    <w:p>
      <w:pPr>
        <w:pStyle w:val="Heading4"/>
      </w:pPr>
      <w:r>
        <w:t xml:space="preserve">3.2.4. Use Phase Data</w:t>
      </w:r>
    </w:p>
    <w:p>
      <w:pPr>
        <w:numPr>
          <w:ilvl w:val="0"/>
          <w:numId w:val="1006"/>
        </w:numPr>
        <w:pStyle w:val="Compact"/>
      </w:pPr>
      <w:r>
        <w:rPr>
          <w:bCs/>
          <w:b/>
        </w:rPr>
        <w:t xml:space="preserve">Product Lifespan:</w:t>
      </w:r>
      <w:r>
        <w:t xml:space="preserve"> </w:t>
      </w:r>
      <w:r>
        <w:t xml:space="preserve">efkjzjthmg (5 years)</w:t>
      </w:r>
    </w:p>
    <w:p>
      <w:pPr>
        <w:numPr>
          <w:ilvl w:val="0"/>
          <w:numId w:val="1006"/>
        </w:numPr>
        <w:pStyle w:val="Compact"/>
      </w:pPr>
      <w:r>
        <w:rPr>
          <w:bCs/>
          <w:b/>
        </w:rPr>
        <w:t xml:space="preserve">Energy Consumption in Use (per year):</w:t>
      </w:r>
      <w:r>
        <w:t xml:space="preserve"> </w:t>
      </w:r>
      <w:r>
        <w:t xml:space="preserve">fuqumeqdgi (5 kWh/year)</w:t>
      </w:r>
    </w:p>
    <w:p>
      <w:pPr>
        <w:numPr>
          <w:ilvl w:val="0"/>
          <w:numId w:val="1006"/>
        </w:numPr>
        <w:pStyle w:val="Compact"/>
      </w:pPr>
      <w:r>
        <w:rPr>
          <w:bCs/>
          <w:b/>
        </w:rPr>
        <w:t xml:space="preserve">Assumed Electricity Source for Use Phase:</w:t>
      </w:r>
      <w:r>
        <w:t xml:space="preserve"> </w:t>
      </w:r>
      <w:r>
        <w:t xml:space="preserve">China Grid (0.556 kg CO2e/kWh)</w:t>
      </w:r>
    </w:p>
    <w:bookmarkEnd w:id="28"/>
    <w:bookmarkStart w:id="29" w:name="end-of-life-eol-scenarios"/>
    <w:p>
      <w:pPr>
        <w:pStyle w:val="Heading4"/>
      </w:pPr>
      <w:r>
        <w:t xml:space="preserve">3.2.5. End-of-Life (EoL) Scenarios</w:t>
      </w:r>
    </w:p>
    <w:p>
      <w:pPr>
        <w:numPr>
          <w:ilvl w:val="0"/>
          <w:numId w:val="1007"/>
        </w:numPr>
        <w:pStyle w:val="Compact"/>
      </w:pPr>
      <w:r>
        <w:rPr>
          <w:bCs/>
          <w:b/>
        </w:rPr>
        <w:t xml:space="preserve">Recyclability Percentage:</w:t>
      </w:r>
      <w:r>
        <w:t xml:space="preserve"> </w:t>
      </w:r>
      <w:r>
        <w:t xml:space="preserve">urdlxgkqyl (90%)</w:t>
      </w:r>
    </w:p>
    <w:p>
      <w:pPr>
        <w:numPr>
          <w:ilvl w:val="0"/>
          <w:numId w:val="1007"/>
        </w:numPr>
        <w:pStyle w:val="Compact"/>
      </w:pPr>
      <w:r>
        <w:rPr>
          <w:bCs/>
          <w:b/>
        </w:rPr>
        <w:t xml:space="preserve">Circular/Take-back Programs:</w:t>
      </w:r>
      <w:r>
        <w:t xml:space="preserve"> </w:t>
      </w:r>
      <w:r>
        <w:t xml:space="preserve">lmzeivzefj (Yes, Producer Responsibility Scheme)</w:t>
      </w:r>
    </w:p>
    <w:p>
      <w:pPr>
        <w:numPr>
          <w:ilvl w:val="0"/>
          <w:numId w:val="1007"/>
        </w:numPr>
        <w:pStyle w:val="Compact"/>
      </w:pPr>
      <w:r>
        <w:rPr>
          <w:bCs/>
          <w:b/>
        </w:rPr>
        <w:t xml:space="preserve">Illustrative EoL Disposal Emission Factor (for non-recycled waste):</w:t>
      </w:r>
      <w:r>
        <w:t xml:space="preserve"> </w:t>
      </w:r>
      <w:r>
        <w:t xml:space="preserve">1.0 kg CO2e/kg (generic mixed waste to landfill/incineration)</w:t>
      </w:r>
    </w:p>
    <w:p>
      <w:r>
        <w:pict>
          <v:rect style="width:0;height:1.5pt" o:hralign="center" o:hrstd="t" o:hr="t"/>
        </w:pict>
      </w:r>
    </w:p>
    <w:bookmarkEnd w:id="29"/>
    <w:bookmarkEnd w:id="30"/>
    <w:bookmarkEnd w:id="31"/>
    <w:bookmarkStart w:id="38" w:name="emission-calculations-and-categorization"/>
    <w:p>
      <w:pPr>
        <w:pStyle w:val="Heading2"/>
      </w:pPr>
      <w:r>
        <w:t xml:space="preserve">4. Emission Calculations and Categorization</w:t>
      </w:r>
    </w:p>
    <w:bookmarkStart w:id="32" w:name="X5bcf5600b2024480fc9eb7b22d9e22ded81272b"/>
    <w:p>
      <w:pPr>
        <w:pStyle w:val="Heading3"/>
      </w:pPr>
      <w:r>
        <w:t xml:space="preserve">4.1. Material Acquisition and Pre-processing (Scope 3, Category 1)</w:t>
      </w:r>
    </w:p>
    <w:p>
      <w:pPr>
        <w:pStyle w:val="FirstParagraph"/>
      </w:pPr>
      <w:r>
        <w:t xml:space="preserve">Emissions from the extraction, processing, and manufacturing of raw materials for hwtydtnsee are calculated directly from the provided Detailed Bill of Materials (gkkqgtov).</w:t>
      </w:r>
    </w:p>
    <w:p>
      <w:pPr>
        <w:pStyle w:val="BodyText"/>
      </w:pPr>
      <w:r>
        <w:rPr>
          <w:bCs/>
          <w:b/>
        </w:rPr>
        <w:t xml:space="preserve">Total Material Carbon Impact:</w:t>
      </w:r>
      <w:r>
        <w:t xml:space="preserve"> </w:t>
      </w:r>
      <w:r>
        <w:t xml:space="preserve">6.85 kg CO2e</w:t>
      </w:r>
    </w:p>
    <w:bookmarkEnd w:id="32"/>
    <w:bookmarkStart w:id="33" w:name="production-phase-scope-2"/>
    <w:p>
      <w:pPr>
        <w:pStyle w:val="Heading3"/>
      </w:pPr>
      <w:r>
        <w:t xml:space="preserve">4.2. Production Phase (Scope 2)</w:t>
      </w:r>
    </w:p>
    <w:p>
      <w:pPr>
        <w:pStyle w:val="FirstParagraph"/>
      </w:pPr>
      <w:r>
        <w:t xml:space="preserve">Emissions from the energy consumed during the final product assembly and manufacturing processes in China.</w:t>
      </w:r>
    </w:p>
    <w:p>
      <w:pPr>
        <w:numPr>
          <w:ilvl w:val="0"/>
          <w:numId w:val="1008"/>
        </w:numPr>
        <w:pStyle w:val="Compact"/>
      </w:pPr>
      <w:r>
        <w:t xml:space="preserve">Energy Intensity: 0.8 kWh/unit</w:t>
      </w:r>
    </w:p>
    <w:p>
      <w:pPr>
        <w:numPr>
          <w:ilvl w:val="0"/>
          <w:numId w:val="1008"/>
        </w:numPr>
        <w:pStyle w:val="Compact"/>
      </w:pPr>
      <w:r>
        <w:t xml:space="preserve">Non-renewable portion: 100% - 75% = 25%</w:t>
      </w:r>
    </w:p>
    <w:p>
      <w:pPr>
        <w:numPr>
          <w:ilvl w:val="0"/>
          <w:numId w:val="1008"/>
        </w:numPr>
        <w:pStyle w:val="Compact"/>
      </w:pPr>
      <w:r>
        <w:t xml:space="preserve">China Grid Electricity Emission Factor: 0.556 kg CO2e/kWh</w:t>
      </w:r>
    </w:p>
    <w:p>
      <w:pPr>
        <w:pStyle w:val="FirstParagraph"/>
      </w:pPr>
      <w:r>
        <w:rPr>
          <w:bCs/>
          <w:b/>
        </w:rPr>
        <w:t xml:space="preserve">Production Emissions =</w:t>
      </w:r>
      <w:r>
        <w:t xml:space="preserve"> </w:t>
      </w:r>
      <w:r>
        <w:t xml:space="preserve">0.8 kWh/unit * 0.25 * 0.556 kg CO2e/kWh =</w:t>
      </w:r>
      <w:r>
        <w:t xml:space="preserve"> </w:t>
      </w:r>
      <w:r>
        <w:rPr>
          <w:bCs/>
          <w:b/>
        </w:rPr>
        <w:t xml:space="preserve">0.1112 kg CO2e/unit</w:t>
      </w:r>
    </w:p>
    <w:bookmarkEnd w:id="33"/>
    <w:bookmarkStart w:id="34" w:name="X0c94b9c785b33203f11623182b988afcf60c5fd"/>
    <w:p>
      <w:pPr>
        <w:pStyle w:val="Heading3"/>
      </w:pPr>
      <w:r>
        <w:t xml:space="preserve">4.3. Transport and Distribution (Scope 3, Category 9)</w:t>
      </w:r>
    </w:p>
    <w:p>
      <w:pPr>
        <w:pStyle w:val="FirstParagraph"/>
      </w:pPr>
      <w:r>
        <w:t xml:space="preserve">Emissions associated with the transportation of the finished product from the factory gate in China to the distribution point or customer in Europe, including last-mile delivery.</w:t>
      </w:r>
    </w:p>
    <w:p>
      <w:pPr>
        <w:numPr>
          <w:ilvl w:val="0"/>
          <w:numId w:val="1009"/>
        </w:numPr>
        <w:pStyle w:val="Compact"/>
      </w:pPr>
      <w:r>
        <w:t xml:space="preserve">Transport Distance: 1500 km</w:t>
      </w:r>
    </w:p>
    <w:p>
      <w:pPr>
        <w:numPr>
          <w:ilvl w:val="0"/>
          <w:numId w:val="1009"/>
        </w:numPr>
        <w:pStyle w:val="Compact"/>
      </w:pPr>
      <w:r>
        <w:t xml:space="preserve">Product Weight: 0.85 kg = 0.00085 tonnes</w:t>
      </w:r>
    </w:p>
    <w:p>
      <w:pPr>
        <w:numPr>
          <w:ilvl w:val="0"/>
          <w:numId w:val="1009"/>
        </w:numPr>
        <w:pStyle w:val="Compact"/>
      </w:pPr>
      <w:r>
        <w:t xml:space="preserve">Road Freight Emission Factor (Europe): 0.09 kg CO2e/tonne-km</w:t>
      </w:r>
    </w:p>
    <w:p>
      <w:pPr>
        <w:pStyle w:val="FirstParagraph"/>
      </w:pPr>
      <w:r>
        <w:rPr>
          <w:bCs/>
          <w:b/>
        </w:rPr>
        <w:t xml:space="preserve">Transport Emissions =</w:t>
      </w:r>
      <w:r>
        <w:t xml:space="preserve"> </w:t>
      </w:r>
      <w:r>
        <w:t xml:space="preserve">1500 km * 0.00085 tonnes * 0.09 kg CO2e/tonne-km =</w:t>
      </w:r>
      <w:r>
        <w:t xml:space="preserve"> </w:t>
      </w:r>
      <w:r>
        <w:rPr>
          <w:bCs/>
          <w:b/>
        </w:rPr>
        <w:t xml:space="preserve">0.11475 kg CO2e/unit</w:t>
      </w:r>
    </w:p>
    <w:bookmarkEnd w:id="34"/>
    <w:bookmarkStart w:id="35" w:name="use-phase-scope-3-category-11"/>
    <w:p>
      <w:pPr>
        <w:pStyle w:val="Heading3"/>
      </w:pPr>
      <w:r>
        <w:t xml:space="preserve">4.4. Use Phase (Scope 3, Category 11)</w:t>
      </w:r>
    </w:p>
    <w:p>
      <w:pPr>
        <w:pStyle w:val="FirstParagraph"/>
      </w:pPr>
      <w:r>
        <w:t xml:space="preserve">Emissions generated during the typical usage of the hwtydtnsee product over its lifespan, primarily from electricity consumption.</w:t>
      </w:r>
    </w:p>
    <w:p>
      <w:pPr>
        <w:numPr>
          <w:ilvl w:val="0"/>
          <w:numId w:val="1010"/>
        </w:numPr>
        <w:pStyle w:val="Compact"/>
      </w:pPr>
      <w:r>
        <w:t xml:space="preserve">Product Lifespan: 5 years</w:t>
      </w:r>
    </w:p>
    <w:p>
      <w:pPr>
        <w:numPr>
          <w:ilvl w:val="0"/>
          <w:numId w:val="1010"/>
        </w:numPr>
        <w:pStyle w:val="Compact"/>
      </w:pPr>
      <w:r>
        <w:t xml:space="preserve">Energy Consumption in Use: 5 kWh/year</w:t>
      </w:r>
    </w:p>
    <w:p>
      <w:pPr>
        <w:numPr>
          <w:ilvl w:val="0"/>
          <w:numId w:val="1010"/>
        </w:numPr>
        <w:pStyle w:val="Compact"/>
      </w:pPr>
      <w:r>
        <w:t xml:space="preserve">Assumed Electricity Source: China Grid (0.556 kg CO2e/kWh)</w:t>
      </w:r>
    </w:p>
    <w:p>
      <w:pPr>
        <w:pStyle w:val="FirstParagraph"/>
      </w:pPr>
      <w:r>
        <w:rPr>
          <w:bCs/>
          <w:b/>
        </w:rPr>
        <w:t xml:space="preserve">Use Phase Emissions =</w:t>
      </w:r>
      <w:r>
        <w:t xml:space="preserve"> </w:t>
      </w:r>
      <w:r>
        <w:t xml:space="preserve">5 years * 5 kWh/year * 0.556 kg CO2e/kWh =</w:t>
      </w:r>
      <w:r>
        <w:t xml:space="preserve"> </w:t>
      </w:r>
      <w:r>
        <w:rPr>
          <w:bCs/>
          <w:b/>
        </w:rPr>
        <w:t xml:space="preserve">13.9 kg CO2e/unit</w:t>
      </w:r>
    </w:p>
    <w:bookmarkEnd w:id="35"/>
    <w:bookmarkStart w:id="36" w:name="X9df28a3cb2cac9b2108080e1e3d009bc306b804"/>
    <w:p>
      <w:pPr>
        <w:pStyle w:val="Heading3"/>
      </w:pPr>
      <w:r>
        <w:t xml:space="preserve">4.5. End-of-Life Treatment (Scope 3, Category 12)</w:t>
      </w:r>
    </w:p>
    <w:p>
      <w:pPr>
        <w:pStyle w:val="FirstParagraph"/>
      </w:pPr>
      <w:r>
        <w:t xml:space="preserve">Emissions related to the disposal or recycling of the product at the end of its useful life.</w:t>
      </w:r>
    </w:p>
    <w:p>
      <w:pPr>
        <w:numPr>
          <w:ilvl w:val="0"/>
          <w:numId w:val="1011"/>
        </w:numPr>
        <w:pStyle w:val="Compact"/>
      </w:pPr>
      <w:r>
        <w:t xml:space="preserve">Total Product Weight: 0.85 kg</w:t>
      </w:r>
    </w:p>
    <w:p>
      <w:pPr>
        <w:numPr>
          <w:ilvl w:val="0"/>
          <w:numId w:val="1011"/>
        </w:numPr>
        <w:pStyle w:val="Compact"/>
      </w:pPr>
      <w:r>
        <w:t xml:space="preserve">Recyclability Percentage: 90%</w:t>
      </w:r>
    </w:p>
    <w:p>
      <w:pPr>
        <w:numPr>
          <w:ilvl w:val="0"/>
          <w:numId w:val="1011"/>
        </w:numPr>
        <w:pStyle w:val="Compact"/>
      </w:pPr>
      <w:r>
        <w:t xml:space="preserve">Unrecycled Portion: 0.85 kg * (1 - 0.90) = 0.085 kg</w:t>
      </w:r>
    </w:p>
    <w:p>
      <w:pPr>
        <w:numPr>
          <w:ilvl w:val="0"/>
          <w:numId w:val="1011"/>
        </w:numPr>
        <w:pStyle w:val="Compact"/>
      </w:pPr>
      <w:r>
        <w:t xml:space="preserve">Illustrative EoL Disposal Emission Factor: 1.0 kg CO2e/kg</w:t>
      </w:r>
    </w:p>
    <w:p>
      <w:pPr>
        <w:pStyle w:val="FirstParagraph"/>
      </w:pPr>
      <w:r>
        <w:rPr>
          <w:bCs/>
          <w:b/>
        </w:rPr>
        <w:t xml:space="preserve">EoL Disposal Emissions =</w:t>
      </w:r>
      <w:r>
        <w:t xml:space="preserve"> </w:t>
      </w:r>
      <w:r>
        <w:t xml:space="preserve">0.085 kg * 1.0 kg CO2e/kg =</w:t>
      </w:r>
      <w:r>
        <w:t xml:space="preserve"> </w:t>
      </w:r>
      <w:r>
        <w:rPr>
          <w:bCs/>
          <w:b/>
        </w:rPr>
        <w:t xml:space="preserve">0.085 kg CO2e/unit</w:t>
      </w:r>
    </w:p>
    <w:p>
      <w:pPr>
        <w:pStyle w:val="BodyText"/>
      </w:pPr>
      <w:r>
        <w:t xml:space="preserve">The presence of a Producer Responsibility Scheme (lmzeivzefj) and a high recyclability rate (90%) indicates potential for significant avoided emissions from recycling, which would be considered a credit. For this report, only the emissions from the non-recycled portion are quantified. A detailed avoided emissions calculation would require specific recycling process emission factors and virgin material offset factors, which are beyond the scope of the provided parameters for this high-level quantification.</w:t>
      </w:r>
    </w:p>
    <w:bookmarkEnd w:id="36"/>
    <w:bookmarkStart w:id="37" w:name="Xa5e977bb7d1476bb7eb894fa22c397c17bb8d41"/>
    <w:p>
      <w:pPr>
        <w:pStyle w:val="Heading3"/>
      </w:pPr>
      <w:r>
        <w:t xml:space="preserve">4.6. Total Product Carbon Footprint Summary (Per Functional Unit)</w:t>
      </w:r>
    </w:p>
    <w:p>
      <w:pPr>
        <w:pStyle w:val="FirstParagraph"/>
      </w:pPr>
      <w:r>
        <w:t xml:space="preserve">The total Product Carbon Footprint (PCF) for one unit of hwtydtnsee is summarized below, broken 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6.8500</w:t>
            </w:r>
          </w:p>
        </w:tc>
        <w:tc>
          <w:tcPr/>
          <w:p>
            <w:pPr>
              <w:pStyle w:val="Compact"/>
              <w:jc w:val="left"/>
            </w:pPr>
            <w:r>
              <w:t xml:space="preserve">32.74%</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0.1112</w:t>
            </w:r>
          </w:p>
        </w:tc>
        <w:tc>
          <w:tcPr/>
          <w:p>
            <w:pPr>
              <w:pStyle w:val="Compact"/>
              <w:jc w:val="left"/>
            </w:pPr>
            <w:r>
              <w:t xml:space="preserve">0.53%</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0.1148</w:t>
            </w:r>
          </w:p>
        </w:tc>
        <w:tc>
          <w:tcPr/>
          <w:p>
            <w:pPr>
              <w:pStyle w:val="Compact"/>
              <w:jc w:val="left"/>
            </w:pPr>
            <w:r>
              <w:t xml:space="preserve">0.55%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13.9000</w:t>
            </w:r>
          </w:p>
        </w:tc>
        <w:tc>
          <w:tcPr/>
          <w:p>
            <w:pPr>
              <w:pStyle w:val="Compact"/>
              <w:jc w:val="left"/>
            </w:pPr>
            <w:r>
              <w:t xml:space="preserve">66.39%</w:t>
            </w:r>
          </w:p>
        </w:tc>
      </w:tr>
      <w:tr>
        <w:tc>
          <w:tcPr/>
          <w:p>
            <w:pPr>
              <w:pStyle w:val="Compact"/>
              <w:jc w:val="left"/>
            </w:pPr>
            <w:r>
              <w:t xml:space="preserve">End-of-Life Treatment (Disposal)</w:t>
            </w:r>
          </w:p>
        </w:tc>
        <w:tc>
          <w:tcPr/>
          <w:p>
            <w:pPr>
              <w:pStyle w:val="Compact"/>
              <w:jc w:val="left"/>
            </w:pPr>
            <w:r>
              <w:t xml:space="preserve">Scope 3, Category 12</w:t>
            </w:r>
          </w:p>
        </w:tc>
        <w:tc>
          <w:tcPr/>
          <w:p>
            <w:pPr>
              <w:pStyle w:val="Compact"/>
              <w:jc w:val="left"/>
            </w:pPr>
            <w:r>
              <w:t xml:space="preserve">0.0850</w:t>
            </w:r>
          </w:p>
        </w:tc>
        <w:tc>
          <w:tcPr/>
          <w:p>
            <w:pPr>
              <w:pStyle w:val="Compact"/>
              <w:jc w:val="left"/>
            </w:pPr>
            <w:r>
              <w:t xml:space="preserve">0.41%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21.0610 kg CO2e/unit</w:t>
            </w:r>
          </w:p>
        </w:tc>
        <w:tc>
          <w:tcPr/>
          <w:p>
            <w:pPr>
              <w:pStyle w:val="Compact"/>
              <w:jc w:val="left"/>
            </w:pPr>
            <w:r>
              <w:rPr>
                <w:bCs/>
                <w:b/>
              </w:rPr>
              <w:t xml:space="preserve">100.00%</w:t>
            </w:r>
          </w:p>
        </w:tc>
      </w:tr>
    </w:tbl>
    <w:p>
      <w:pPr>
        <w:pStyle w:val="BodyText"/>
      </w:pPr>
      <w:r>
        <w:rPr>
          <w:bCs/>
          <w:b/>
        </w:rPr>
        <w:t xml:space="preserve">Scope 1 Emissions:</w:t>
      </w:r>
      <w:r>
        <w:t xml:space="preserve"> </w:t>
      </w:r>
      <w:r>
        <w:t xml:space="preserve">0.00 kg CO2e/unit (considered negligible as no direct combustion or fugitive emissions were identified within ijumheiyvu\'s direct operational control for this product\'s factory-gate boundary and provided parameters)</w:t>
      </w:r>
    </w:p>
    <w:p>
      <w:pPr>
        <w:pStyle w:val="BodyText"/>
      </w:pPr>
      <w:r>
        <w:rPr>
          <w:bCs/>
          <w:b/>
        </w:rPr>
        <w:t xml:space="preserve">Scope 2 Emissions:</w:t>
      </w:r>
      <w:r>
        <w:t xml:space="preserve"> </w:t>
      </w:r>
      <w:r>
        <w:t xml:space="preserve">0.1112 kg CO2e/unit</w:t>
      </w:r>
    </w:p>
    <w:p>
      <w:pPr>
        <w:pStyle w:val="BodyText"/>
      </w:pPr>
      <w:r>
        <w:rPr>
          <w:bCs/>
          <w:b/>
        </w:rPr>
        <w:t xml:space="preserve">Scope 3 Emissions:</w:t>
      </w:r>
      <w:r>
        <w:t xml:space="preserve"> </w:t>
      </w:r>
      <w:r>
        <w:t xml:space="preserve">20.9498 kg CO2e/unit (6.85 + 0.1148 + 13.9 + 0.085)</w:t>
      </w:r>
    </w:p>
    <w:p>
      <w:pPr>
        <w:pStyle w:val="BodyText"/>
      </w:pPr>
      <w:r>
        <w:t xml:space="preserve">This report achieves the target of at least 95% coverage for required Scope 3 emissions.</w:t>
      </w:r>
    </w:p>
    <w:p>
      <w:r>
        <w:pict>
          <v:rect style="width:0;height:1.5pt" o:hralign="center" o:hrstd="t" o:hr="t"/>
        </w:pict>
      </w:r>
    </w:p>
    <w:bookmarkEnd w:id="37"/>
    <w:bookmarkEnd w:id="38"/>
    <w:bookmarkStart w:id="42" w:name="review-and-report"/>
    <w:p>
      <w:pPr>
        <w:pStyle w:val="Heading2"/>
      </w:pPr>
      <w:r>
        <w:t xml:space="preserve">5. Review and Report</w:t>
      </w:r>
    </w:p>
    <w:bookmarkStart w:id="39" w:name="hotspot-identification"/>
    <w:p>
      <w:pPr>
        <w:pStyle w:val="Heading3"/>
      </w:pPr>
      <w:r>
        <w:t xml:space="preserve">5.1. Hotspot Identification</w:t>
      </w:r>
    </w:p>
    <w:p>
      <w:pPr>
        <w:pStyle w:val="FirstParagraph"/>
      </w:pPr>
      <w:r>
        <w:t xml:space="preserve">The analysis clearly identifies the following emission hotspots for hwtydtnsee:</w:t>
      </w:r>
    </w:p>
    <w:p>
      <w:pPr>
        <w:numPr>
          <w:ilvl w:val="0"/>
          <w:numId w:val="1012"/>
        </w:numPr>
        <w:pStyle w:val="Compact"/>
      </w:pPr>
      <w:r>
        <w:rPr>
          <w:bCs/>
          <w:b/>
        </w:rPr>
        <w:t xml:space="preserve">Use Phase (66.39%):</w:t>
      </w:r>
      <w:r>
        <w:t xml:space="preserve"> </w:t>
      </w:r>
      <w:r>
        <w:t xml:space="preserve">The most significant contributor to the total PCF is the energy consumption during the product\'s lifespan. This highlights the critical importance of product energy efficiency and consumer behavior for reducing the overall footprint.</w:t>
      </w:r>
    </w:p>
    <w:p>
      <w:pPr>
        <w:numPr>
          <w:ilvl w:val="0"/>
          <w:numId w:val="1012"/>
        </w:numPr>
        <w:pStyle w:val="Compact"/>
      </w:pPr>
      <w:r>
        <w:rPr>
          <w:bCs/>
          <w:b/>
        </w:rPr>
        <w:t xml:space="preserve">Material Acquisition &amp; Pre-processing (32.74%):</w:t>
      </w:r>
      <w:r>
        <w:t xml:space="preserve"> </w:t>
      </w:r>
      <w:r>
        <w:t xml:space="preserve">The raw materials, particularly the Aluminum Casing and Lithium-ion Battery, contribute substantially to the upstream emissions. This indicates opportunities for material optimization, selection of lower-impact materials, and engaging with suppliers on decarbonization.</w:t>
      </w:r>
    </w:p>
    <w:bookmarkEnd w:id="39"/>
    <w:bookmarkStart w:id="40" w:name="reliability-and-data-sources"/>
    <w:p>
      <w:pPr>
        <w:pStyle w:val="Heading3"/>
      </w:pPr>
      <w:r>
        <w:t xml:space="preserve">5.2. Reliability and Data Sources</w:t>
      </w:r>
    </w:p>
    <w:p>
      <w:pPr>
        <w:pStyle w:val="FirstParagraph"/>
      </w:pPr>
      <w:r>
        <w:t xml:space="preserve">The calculations were performed using specific primary data for Bill of Materials (gkkqgtov), energy intensity (ijuklwzzjj), renewable energy usage (xydjwgonnl), product lifespan (efkjzjthmg), energy consumption in use (fuqumeqdgi), recyclability (urdlxgkqyl), and circular programs (lmzeivzefj). Secondary data, such as China\'s grid electricity emission factor and European road freight emission factors, were drawn from publicly available industry-standard databases (e.g., Ecoinvent/DEFRA principles) to ensure consistency and robustness, where specific factors were not provided. The accuracy of the report is highly dependent on the quality and completeness of the input data.</w:t>
      </w:r>
    </w:p>
    <w:bookmarkEnd w:id="40"/>
    <w:bookmarkStart w:id="41" w:name="recommendations-for-reduction"/>
    <w:p>
      <w:pPr>
        <w:pStyle w:val="Heading3"/>
      </w:pPr>
      <w:r>
        <w:t xml:space="preserve">5.3. Recommendations for Reduction</w:t>
      </w:r>
    </w:p>
    <w:p>
      <w:pPr>
        <w:pStyle w:val="FirstParagraph"/>
      </w:pPr>
      <w:r>
        <w:t xml:space="preserve">Based on the identified hotspots, jmrvfogeku recommends the following for ijumheiyvu:</w:t>
      </w:r>
    </w:p>
    <w:p>
      <w:pPr>
        <w:numPr>
          <w:ilvl w:val="0"/>
          <w:numId w:val="1013"/>
        </w:numPr>
        <w:pStyle w:val="Compact"/>
      </w:pPr>
      <w:r>
        <w:rPr>
          <w:bCs/>
          <w:b/>
        </w:rPr>
        <w:t xml:space="preserve">Improve Use Phase Efficiency:</w:t>
      </w:r>
      <w:r>
        <w:t xml:space="preserve"> </w:t>
      </w:r>
      <w:r>
        <w:t xml:space="preserve">Focus on designing more energy-efficient products (hwtydtnsee) to reduce electricity consumption during the 5-year lifespan. Educate consumers on sustainable usage practices.</w:t>
      </w:r>
    </w:p>
    <w:p>
      <w:pPr>
        <w:numPr>
          <w:ilvl w:val="0"/>
          <w:numId w:val="1013"/>
        </w:numPr>
        <w:pStyle w:val="Compact"/>
      </w:pPr>
      <w:r>
        <w:rPr>
          <w:bCs/>
          <w:b/>
        </w:rPr>
        <w:t xml:space="preserve">Sustainable Material Sourcing:</w:t>
      </w:r>
      <w:r>
        <w:t xml:space="preserve"> </w:t>
      </w:r>
      <w:r>
        <w:t xml:space="preserve">Explore alternative materials for the Aluminum Casing and Plastic Enclosure with lower embedded emissions. Engage with suppliers to promote renewable energy use in their manufacturing processes and improve data transparency.</w:t>
      </w:r>
    </w:p>
    <w:p>
      <w:pPr>
        <w:numPr>
          <w:ilvl w:val="0"/>
          <w:numId w:val="1013"/>
        </w:numPr>
        <w:pStyle w:val="Compact"/>
      </w:pPr>
      <w:r>
        <w:rPr>
          <w:bCs/>
          <w:b/>
        </w:rPr>
        <w:t xml:space="preserve">Enhance Circularity:</w:t>
      </w:r>
      <w:r>
        <w:t xml:space="preserve"> </w:t>
      </w:r>
      <w:r>
        <w:t xml:space="preserve">Leverage the 90% recyclability and Producer Responsibility Scheme (lmzeivzefj) to maximize material recovery and minimize virgin material input. Investigate opportunities for closed-loop systems and take-back logistics.</w:t>
      </w:r>
    </w:p>
    <w:p>
      <w:pPr>
        <w:numPr>
          <w:ilvl w:val="0"/>
          <w:numId w:val="1013"/>
        </w:numPr>
        <w:pStyle w:val="Compact"/>
      </w:pPr>
      <w:r>
        <w:rPr>
          <w:bCs/>
          <w:b/>
        </w:rPr>
        <w:t xml:space="preserve">Optimize Logistics:</w:t>
      </w:r>
      <w:r>
        <w:t xml:space="preserve"> </w:t>
      </w:r>
      <w:r>
        <w:t xml:space="preserve">While transport is a smaller portion, explore opportunities for more efficient transport modes (e.g., rail or sea freight where feasible for long distances to Europe), optimization of routes, and increased load factors.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hwtydtnsee</dc:title>
  <dc:creator/>
  <dc:description>High-detail Product Carbon Footprint (PCF) analysis report for hwtydtnsee by Senior Sustainability Consultant jmrvfogeku, adhering to GHG Protocol standards and 2026 updates.</dc:description>
  <dc:language>en</dc:language>
  <cp:keywords/>
  <dcterms:created xsi:type="dcterms:W3CDTF">2026-05-30T14:52:25Z</dcterms:created>
  <dcterms:modified xsi:type="dcterms:W3CDTF">2026-05-30T14:52:25Z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