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hwrqyzhrio</w:t>
      </w:r>
    </w:p>
    <w:p>
      <w:pPr>
        <w:pStyle w:val="FirstParagraph"/>
      </w:pPr>
      <w:r>
        <w:t xml:space="preserve">carboncalcpcf.com</w:t>
      </w:r>
    </w:p>
    <w:bookmarkStart w:id="21" w:name="product-carbon-footprint-report"/>
    <w:p>
      <w:pPr>
        <w:pStyle w:val="Heading1"/>
      </w:pPr>
      <w:r>
        <w:t xml:space="preserve">Product Carbon Footprint Report</w:t>
      </w:r>
    </w:p>
    <w:bookmarkStart w:id="20" w:name="for-hwrqyzhrio"/>
    <w:p>
      <w:pPr>
        <w:pStyle w:val="Heading2"/>
      </w:pPr>
      <w:r>
        <w:t xml:space="preserve">for hwrqyzhrio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sxoyofmiuh</w:t>
      </w:r>
    </w:p>
    <w:p>
      <w:pPr>
        <w:pStyle w:val="BodyText"/>
      </w:pPr>
      <w:r>
        <w:rPr>
          <w:bCs/>
          <w:b/>
        </w:rPr>
        <w:t xml:space="preserve">Senior Sustainability Consultant:</w:t>
      </w:r>
      <w:r>
        <w:t xml:space="preserve"> </w:t>
      </w:r>
      <w:r>
        <w:t xml:space="preserve">riqzgwixkl</w:t>
      </w:r>
    </w:p>
    <w:p>
      <w:pPr>
        <w:pStyle w:val="BodyText"/>
      </w:pPr>
      <w:r>
        <w:rPr>
          <w:bCs/>
          <w:b/>
        </w:rPr>
        <w:t xml:space="preserve">Generated Date:</w:t>
      </w:r>
      <w:r>
        <w:t xml:space="preserve"> </w:t>
      </w:r>
      <w:r>
        <w:t xml:space="preserve">May 22, 2026</w:t>
      </w:r>
    </w:p>
    <w:bookmarkEnd w:id="20"/>
    <w:bookmarkEnd w:id="21"/>
    <w:p>
      <w:pPr>
        <w:pStyle w:val="BodyText"/>
      </w:pPr>
      <w:r>
        <w:t xml:space="preserve">Disclaimer: This report is generated based on available data and industry standards, providing an estimate of the Product Carbon Footprint. Actual emissions may vary depending on real-world conditions and data accuracy. This report is for informational purposes and internal use unless otherwise specified.</w:t>
      </w:r>
    </w:p>
    <w:bookmarkStart w:id="22" w:name="X8901750ce68432391ed0679ee9e5c769b7d6c26"/>
    <w:p>
      <w:pPr>
        <w:pStyle w:val="Heading1"/>
      </w:pPr>
      <w:r>
        <w:t xml:space="preserve">Product Carbon Footprint Analysis for hwrqyzhrio</w:t>
      </w:r>
    </w:p>
    <w:p>
      <w:pPr>
        <w:pStyle w:val="FirstParagraph"/>
      </w:pPr>
      <w:r>
        <w:t xml:space="preserve">Generated Date: May 22,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As Senior Sustainability Consultant riqzgwixkl for sxoyofmiuh, I am pleased to present this high-detail Product Carbon Footprint (PCF) analysis for the product hwrqyzhrio. This report adheres strictly to the Greenhouse Gas (GHG) Protocol standards, incorporating the latest 2026 updates, including the Land Sector and Removals (LSR) Standard and the enhanced Scope 3 reporting requirements. The analysis provides a comprehensive assessment of hwrqyzhrio\'s carbon impact across its lifecycle, from material acquisition to end-of-life, with a specific focus on a "factory_gate" system boundary.</w:t>
      </w:r>
    </w:p>
    <w:p>
      <w:pPr>
        <w:pStyle w:val="BodyText"/>
      </w:pPr>
      <w:r>
        <w:t xml:space="preserve">The objective of this PCF analysis is to identify emission hotspots, inform mitigation strategies, and ensure compliance with evolving global sustainability reporting frameworks. By leveraging detailed Bill of Materials (BOM) data, specific logistics information, customized energy usage, and end-of-life scenarios, this report aims to offer an accurate and actionable representation of hwrqyzhrio\'s environmental footprint.</w:t>
      </w:r>
    </w:p>
    <w:p>
      <w:r>
        <w:pict>
          <v:rect style="width:0;height:1.5pt" o:hralign="center" o:hrstd="t" o:hr="t"/>
        </w:pict>
      </w:r>
    </w:p>
    <w:bookmarkEnd w:id="23"/>
    <w:bookmarkStart w:id="29" w:name="define-scope"/>
    <w:p>
      <w:pPr>
        <w:pStyle w:val="Heading2"/>
      </w:pPr>
      <w:r>
        <w:t xml:space="preserve">1. Define Scope</w:t>
      </w:r>
    </w:p>
    <w:p>
      <w:pPr>
        <w:pStyle w:val="FirstParagraph"/>
      </w:pPr>
      <w:r>
        <w:t xml:space="preserve">The foundational step in this Product Carbon Footprint (PCF) analysis for hwrqyzhrio involves clearly defining the scope of the assessment, in strict accordance with the GHG Protocol.</w:t>
      </w:r>
    </w:p>
    <w:p>
      <w:pPr>
        <w:numPr>
          <w:ilvl w:val="0"/>
          <w:numId w:val="1001"/>
        </w:numPr>
        <w:pStyle w:val="Heading3"/>
      </w:pPr>
      <w:bookmarkStart w:id="24" w:name="functional-unit"/>
      <w:r>
        <w:t xml:space="preserve">Functional Unit:</w:t>
      </w:r>
      <w:bookmarkEnd w:id="24"/>
    </w:p>
    <w:p>
      <w:pPr>
        <w:numPr>
          <w:ilvl w:val="0"/>
          <w:numId w:val="1000"/>
        </w:numPr>
      </w:pPr>
      <w:r>
        <w:t xml:space="preserve">The functional unit for this PCF analysis is defined as</w:t>
      </w:r>
      <w:r>
        <w:t xml:space="preserve"> </w:t>
      </w:r>
      <w:r>
        <w:rPr>
          <w:bCs/>
          <w:b/>
        </w:rPr>
        <w:t xml:space="preserve">1.0 unit of hwrqyzhrio</w:t>
      </w:r>
      <w:r>
        <w:t xml:space="preserve">. This unit serves as the reference basis for all quantified environmental impacts, ensuring comparability and consistency throughout the assessment.</w:t>
      </w:r>
    </w:p>
    <w:p>
      <w:pPr>
        <w:numPr>
          <w:ilvl w:val="0"/>
          <w:numId w:val="1001"/>
        </w:numPr>
        <w:pStyle w:val="Heading3"/>
      </w:pPr>
      <w:bookmarkStart w:id="25" w:name="system-boundary"/>
      <w:r>
        <w:t xml:space="preserve">System Boundary:</w:t>
      </w:r>
      <w:bookmarkEnd w:id="25"/>
    </w:p>
    <w:p>
      <w:pPr>
        <w:numPr>
          <w:ilvl w:val="0"/>
          <w:numId w:val="1000"/>
        </w:numPr>
      </w:pPr>
      <w:r>
        <w:t xml:space="preserve">The system boundary for this PCF is set at</w:t>
      </w:r>
      <w:r>
        <w:t xml:space="preserve"> </w:t>
      </w:r>
      <w:r>
        <w:rPr>
          <w:bCs/>
          <w:b/>
        </w:rPr>
        <w:t xml:space="preserve">"factory_gate"</w:t>
      </w:r>
      <w:r>
        <w:t xml:space="preserve">. This means the analysis primarily covers emissions from raw material extraction, transportation to the manufacturing facility, and all manufacturing processes up to the point where the finished product leaves the factory gate. While the primary boundary is factory_gate, per the user\'s detailed request, specific use-phase and end-of-life parameters are also incorporated to provide a more holistic view for future expansion to a full "cradle-to-grave" assessment.</w:t>
      </w:r>
    </w:p>
    <w:p>
      <w:pPr>
        <w:numPr>
          <w:ilvl w:val="0"/>
          <w:numId w:val="1000"/>
        </w:numPr>
      </w:pPr>
      <w:r>
        <w:t xml:space="preserve">Emissions are categorized into Scope 1 (direct emissions from owned or controlled sources), Scope 2 (indirect emissions from purchased energy), and Scope 3 (all other indirect emissions in the value chain). This categorization is fundamental to GHG Protocol adherence.</w:t>
      </w:r>
    </w:p>
    <w:p>
      <w:pPr>
        <w:numPr>
          <w:ilvl w:val="0"/>
          <w:numId w:val="1001"/>
        </w:numPr>
        <w:pStyle w:val="Heading3"/>
      </w:pPr>
      <w:bookmarkStart w:id="26" w:name="geographic-scope"/>
      <w:r>
        <w:t xml:space="preserve">Geographic Scope:</w:t>
      </w:r>
      <w:bookmarkEnd w:id="26"/>
    </w:p>
    <w:p>
      <w:pPr>
        <w:numPr>
          <w:ilvl w:val="0"/>
          <w:numId w:val="1000"/>
        </w:numPr>
      </w:pPr>
      <w:r>
        <w:t xml:space="preserve">The geographic scope for the final production of hwrqyzhrio is</w:t>
      </w:r>
      <w:r>
        <w:t xml:space="preserve"> </w:t>
      </w:r>
      <w:r>
        <w:rPr>
          <w:bCs/>
          <w:b/>
        </w:rPr>
        <w:t xml:space="preserve">China</w:t>
      </w:r>
      <w:r>
        <w:t xml:space="preserve">, with a specific focus on the</w:t>
      </w:r>
      <w:r>
        <w:t xml:space="preserve"> </w:t>
      </w:r>
      <w:r>
        <w:rPr>
          <w:bCs/>
          <w:b/>
        </w:rPr>
        <w:t xml:space="preserve">Supply Chain within Europe</w:t>
      </w:r>
      <w:r>
        <w:t xml:space="preserve"> </w:t>
      </w:r>
      <w:r>
        <w:t xml:space="preserve">for raw material sourcing and intermediate processing. This dual focus allows for the application of region-specific emission factors for production in China, while acknowledging the often complex and globalized nature of supply chains originating in Europe.</w:t>
      </w:r>
    </w:p>
    <w:p>
      <w:pPr>
        <w:numPr>
          <w:ilvl w:val="0"/>
          <w:numId w:val="1001"/>
        </w:numPr>
        <w:pStyle w:val="Heading3"/>
      </w:pPr>
      <w:bookmarkStart w:id="27" w:name="allocation"/>
      <w:r>
        <w:t xml:space="preserve">Allocation:</w:t>
      </w:r>
      <w:bookmarkEnd w:id="27"/>
    </w:p>
    <w:p>
      <w:pPr>
        <w:numPr>
          <w:ilvl w:val="0"/>
          <w:numId w:val="1000"/>
        </w:numPr>
      </w:pPr>
      <w:r>
        <w:t xml:space="preserve">Allocation rules are applied to fairly distribute environmental impacts when multiple products or co-products are derived from a single process. For this PCF, mass allocation is prioritized where feasible, assuming a single product stream for hwrqyzhrio at the factory gate. For shared processes, economic allocation or other relevant physical relationships are considered to prevent under- or over-attribution of emissions.</w:t>
      </w:r>
    </w:p>
    <w:p>
      <w:pPr>
        <w:numPr>
          <w:ilvl w:val="0"/>
          <w:numId w:val="1001"/>
        </w:numPr>
        <w:pStyle w:val="Heading3"/>
      </w:pPr>
      <w:bookmarkStart w:id="28" w:name="accounting-standard"/>
      <w:r>
        <w:t xml:space="preserve">Accounting Standard:</w:t>
      </w:r>
      <w:bookmarkEnd w:id="28"/>
    </w:p>
    <w:p>
      <w:pPr>
        <w:numPr>
          <w:ilvl w:val="0"/>
          <w:numId w:val="1000"/>
        </w:numPr>
      </w:pPr>
      <w:r>
        <w:t xml:space="preserve">This Product Carbon Footprint analysis is performed in strict adherence to the</w:t>
      </w:r>
      <w:r>
        <w:t xml:space="preserve"> </w:t>
      </w:r>
      <w:r>
        <w:rPr>
          <w:bCs/>
          <w:b/>
        </w:rPr>
        <w:t xml:space="preserve">GHG Protocol</w:t>
      </w:r>
      <w:r>
        <w:t xml:space="preserve">, specifically referencing the Corporate Accounting and Reporting Standard and the Corporate Value Chain (Scope 3) Accounting and Reporting Standard. This ensures a globally recognized and consistent methodology for greenhouse gas emissions quantification and reporting.</w:t>
      </w:r>
    </w:p>
    <w:p>
      <w:pPr>
        <w:numPr>
          <w:ilvl w:val="0"/>
          <w:numId w:val="1000"/>
        </w:numPr>
      </w:pPr>
      <w:r>
        <w:t xml:space="preserve">Furthermore, this report integrates the most recent updates to the GHG Protocol. This includes the application of the newly released</w:t>
      </w:r>
      <w:r>
        <w:t xml:space="preserve"> </w:t>
      </w:r>
      <w:r>
        <w:rPr>
          <w:bCs/>
          <w:b/>
        </w:rPr>
        <w:t xml:space="preserve">Land Sector and Removals (LSR) Standard</w:t>
      </w:r>
      <w:r>
        <w:t xml:space="preserve"> </w:t>
      </w:r>
      <w:r>
        <w:t xml:space="preserve">for land use and carbon removals, which provides methods for quantifying, reporting, and tracking land emissions and CO₂ removals. The LSR Standard, effective January 1, 2027, fills a critical gap in corporate GHG inventory accounting for land-based activities.</w:t>
      </w:r>
    </w:p>
    <w:p>
      <w:pPr>
        <w:numPr>
          <w:ilvl w:val="0"/>
          <w:numId w:val="1000"/>
        </w:numPr>
      </w:pPr>
      <w:r>
        <w:t xml:space="preserve">Special attention is also given to ensuring robust</w:t>
      </w:r>
      <w:r>
        <w:t xml:space="preserve"> </w:t>
      </w:r>
      <w:r>
        <w:rPr>
          <w:bCs/>
          <w:b/>
        </w:rPr>
        <w:t xml:space="preserve">Scope 3 compliance</w:t>
      </w:r>
      <w:r>
        <w:t xml:space="preserve">, targeting at least 95% coverage for Scope 3 reporting, as per the 2026 requirements. This stricter completeness rule, outlined in the March 2026 Phase 1 Progress Update for the Scope 3 Standard, aims to eliminate selective disclosure and enhances the integrity, transparency, and comparability of value chain emissions data.</w:t>
      </w:r>
    </w:p>
    <w:p>
      <w:r>
        <w:pict>
          <v:rect style="width:0;height:1.5pt" o:hralign="center" o:hrstd="t" o:hr="t"/>
        </w:pict>
      </w:r>
    </w:p>
    <w:bookmarkEnd w:id="29"/>
    <w:bookmarkStart w:id="37"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for hwrqyzhrio and the approach to data collection, integrating the provided parameters. Due to the nature of this report, the BOM data, transport, and energy values are presented as they would be used in a calculation, acknowledging that the actual numerical values provided in the prompt are placeholders.</w:t>
      </w:r>
    </w:p>
    <w:bookmarkStart w:id="31" w:name="Xa111c33373dac3ae283c85af7b697b19c0e6b27"/>
    <w:p>
      <w:pPr>
        <w:pStyle w:val="Heading3"/>
      </w:pPr>
      <w:r>
        <w:t xml:space="preserve">2.1. Material Acquisition &amp; Pre-processing (Scope 3)</w:t>
      </w:r>
    </w:p>
    <w:p>
      <w:pPr>
        <w:pStyle w:val="FirstParagraph"/>
      </w:pPr>
      <w:r>
        <w:t xml:space="preserve">The raw material phase covers the extraction, processing, and manufacturing of all constituent materials in the Bill of Materials (BOM) for hwrqyzhrio. Data for this phase is critical for accurate Scope 3 upstream emissions.</w:t>
      </w:r>
    </w:p>
    <w:bookmarkStart w:id="30" w:name="X04463d6f6850de3a0638fe568830cae5cd1313e"/>
    <w:p>
      <w:pPr>
        <w:pStyle w:val="Heading4"/>
      </w:pPr>
      <w:r>
        <w:t xml:space="preserve">Detailed Bill of Materials (BOM) - yzndmynq</w:t>
      </w:r>
    </w:p>
    <w:p>
      <w:pPr>
        <w:pStyle w:val="FirstParagraph"/>
      </w:pPr>
      <w:r>
        <w:t xml:space="preserve">The provided Detailed Bill of Materials (BOM)</w:t>
      </w:r>
      <w:r>
        <w:t xml:space="preserve"> </w:t>
      </w:r>
      <w:r>
        <w:rPr>
          <w:bCs/>
          <w:b/>
        </w:rPr>
        <w:t xml:space="preserve">yzndmynq</w:t>
      </w:r>
      <w:r>
        <w:t xml:space="preserve"> </w:t>
      </w:r>
      <w:r>
        <w:t xml:space="preserve">is crucial for a high-accuracy material impact calculation, moving beyond default estimates. Each item\'s specific ID, description, category, process, quantity, unit, and an illustrative emission factor (for calculation demonstration) are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MAT001</w:t>
            </w:r>
          </w:p>
        </w:tc>
        <w:tc>
          <w:tcPr/>
          <w:p>
            <w:pPr>
              <w:pStyle w:val="Compact"/>
              <w:jc w:val="left"/>
            </w:pPr>
            <w:r>
              <w:t xml:space="preserve">Aluminium Alloy Sheet</w:t>
            </w:r>
          </w:p>
        </w:tc>
        <w:tc>
          <w:tcPr/>
          <w:p>
            <w:pPr>
              <w:pStyle w:val="Compact"/>
              <w:jc w:val="left"/>
            </w:pPr>
            <w:r>
              <w:t xml:space="preserve">Metals</w:t>
            </w:r>
          </w:p>
        </w:tc>
        <w:tc>
          <w:tcPr/>
          <w:p>
            <w:pPr>
              <w:pStyle w:val="Compact"/>
              <w:jc w:val="left"/>
            </w:pPr>
            <w:r>
              <w:t xml:space="preserve">Primary Production, Rolled</w:t>
            </w:r>
          </w:p>
        </w:tc>
        <w:tc>
          <w:tcPr/>
          <w:p>
            <w:pPr>
              <w:pStyle w:val="Compact"/>
              <w:jc w:val="left"/>
            </w:pPr>
            <w:r>
              <w:t xml:space="preserve">1.5</w:t>
            </w:r>
          </w:p>
        </w:tc>
        <w:tc>
          <w:tcPr/>
          <w:p>
            <w:pPr>
              <w:pStyle w:val="Compact"/>
              <w:jc w:val="left"/>
            </w:pPr>
            <w:r>
              <w:t xml:space="preserve">kg</w:t>
            </w:r>
          </w:p>
        </w:tc>
        <w:tc>
          <w:tcPr/>
          <w:p>
            <w:pPr>
              <w:pStyle w:val="Compact"/>
              <w:jc w:val="left"/>
            </w:pPr>
            <w:r>
              <w:t xml:space="preserve">8.5</w:t>
            </w:r>
          </w:p>
        </w:tc>
        <w:tc>
          <w:tcPr/>
          <w:p>
            <w:pPr>
              <w:pStyle w:val="Compact"/>
              <w:jc w:val="left"/>
            </w:pPr>
            <w:r>
              <w:t xml:space="preserve">12.75</w:t>
            </w:r>
          </w:p>
        </w:tc>
      </w:tr>
      <w:tr>
        <w:tc>
          <w:tcPr/>
          <w:p>
            <w:pPr>
              <w:pStyle w:val="Compact"/>
              <w:jc w:val="left"/>
            </w:pPr>
            <w:r>
              <w:t xml:space="preserve">MAT002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 Grade</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4.1</w:t>
            </w:r>
          </w:p>
        </w:tc>
        <w:tc>
          <w:tcPr/>
          <w:p>
            <w:pPr>
              <w:pStyle w:val="Compact"/>
              <w:jc w:val="left"/>
            </w:pPr>
            <w:r>
              <w:t xml:space="preserve">0.82</w:t>
            </w:r>
          </w:p>
        </w:tc>
      </w:tr>
      <w:tr>
        <w:tc>
          <w:tcPr/>
          <w:p>
            <w:pPr>
              <w:pStyle w:val="Compact"/>
              <w:jc w:val="left"/>
            </w:pPr>
            <w:r>
              <w:t xml:space="preserve">MAT004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Wafer Production,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0.6</w:t>
            </w:r>
          </w:p>
        </w:tc>
        <w:tc>
          <w:tcPr/>
          <w:p>
            <w:pPr>
              <w:pStyle w:val="Compact"/>
              <w:jc w:val="left"/>
            </w:pPr>
            <w:r>
              <w:t xml:space="preserve">0.18</w:t>
            </w:r>
          </w:p>
        </w:tc>
      </w:tr>
      <w:tr>
        <w:tc>
          <w:tcPr/>
          <w:p>
            <w:pPr>
              <w:pStyle w:val="Compact"/>
              <w:jc w:val="left"/>
            </w:pPr>
            <w:r>
              <w:t xml:space="preserve">MAT006</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Cell Manufacturing,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MAT007</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w:t>
            </w:r>
          </w:p>
        </w:tc>
      </w:tr>
    </w:tbl>
    <w:p>
      <w:pPr>
        <w:pStyle w:val="BodyText"/>
      </w:pPr>
      <w:r>
        <w:rPr>
          <w:iCs/>
          <w:i/>
        </w:rPr>
        <w:t xml:space="preserve">Note: The "Emission Factor" and "Total Carbon" values in this table are illustrative placeholders to demonstrate how the provided BOM format is utilized for calculations. Actual values would be sourced from databases like Ecoinvent or DEFRA.</w:t>
      </w:r>
    </w:p>
    <w:bookmarkEnd w:id="30"/>
    <w:bookmarkEnd w:id="31"/>
    <w:bookmarkStart w:id="32" w:name="manufacturing-scope-1-2"/>
    <w:p>
      <w:pPr>
        <w:pStyle w:val="Heading3"/>
      </w:pPr>
      <w:r>
        <w:t xml:space="preserve">2.2. Manufacturing (Scope 1 &amp; 2)</w:t>
      </w:r>
    </w:p>
    <w:p>
      <w:pPr>
        <w:pStyle w:val="FirstParagraph"/>
      </w:pPr>
      <w:r>
        <w:t xml:space="preserve">This stage covers the energy consumption and direct emissions at the production facility in China.</w:t>
      </w:r>
    </w:p>
    <w:p>
      <w:pPr>
        <w:numPr>
          <w:ilvl w:val="0"/>
          <w:numId w:val="1002"/>
        </w:numPr>
      </w:pPr>
      <w:r>
        <w:rPr>
          <w:bCs/>
          <w:b/>
        </w:rPr>
        <w:t xml:space="preserve">Energy Intensity (kWh/unit):</w:t>
      </w:r>
      <w:r>
        <w:t xml:space="preserve"> </w:t>
      </w:r>
      <w:r>
        <w:t xml:space="preserve">The production phase utilizes energy at an intensity of</w:t>
      </w:r>
      <w:r>
        <w:t xml:space="preserve"> </w:t>
      </w:r>
      <w:r>
        <w:rPr>
          <w:bCs/>
          <w:b/>
        </w:rPr>
        <w:t xml:space="preserve">nvseloivqi kWh/unit</w:t>
      </w:r>
      <w:r>
        <w:t xml:space="preserve"> </w:t>
      </w:r>
      <w:r>
        <w:t xml:space="preserve">of hwrqyzhrio. This primary data point is critical for calculating Scope 2 emissions.</w:t>
      </w:r>
    </w:p>
    <w:p>
      <w:pPr>
        <w:numPr>
          <w:ilvl w:val="0"/>
          <w:numId w:val="1002"/>
        </w:numPr>
      </w:pPr>
      <w:r>
        <w:rPr>
          <w:bCs/>
          <w:b/>
        </w:rPr>
        <w:t xml:space="preserve">Renewable Energy Usage:</w:t>
      </w:r>
      <w:r>
        <w:t xml:space="preserve"> </w:t>
      </w:r>
      <w:r>
        <w:t xml:space="preserve">The facility\'s renewable energy usage is specified as</w:t>
      </w:r>
      <w:r>
        <w:t xml:space="preserve"> </w:t>
      </w:r>
      <w:r>
        <w:rPr>
          <w:bCs/>
          <w:b/>
        </w:rPr>
        <w:t xml:space="preserve">hrmtofkrvt</w:t>
      </w:r>
      <w:r>
        <w:t xml:space="preserve">. This percentage is applied to the total energy consumption to determine the grid electricity reliance and thus the associated Scope 2 emissions, reflecting efforts towards decarbonization.</w:t>
      </w:r>
    </w:p>
    <w:p>
      <w:pPr>
        <w:numPr>
          <w:ilvl w:val="0"/>
          <w:numId w:val="1002"/>
        </w:numPr>
      </w:pPr>
      <w:r>
        <w:rPr>
          <w:bCs/>
          <w:b/>
        </w:rPr>
        <w:t xml:space="preserve">Other Direct Emissions (Scope 1):</w:t>
      </w:r>
      <w:r>
        <w:t xml:space="preserve"> </w:t>
      </w:r>
      <w:r>
        <w:t xml:space="preserve">Any direct emissions from owned or controlled sources at the factory (e.g., fuel combustion for heating, process emissions) would be accounted for here, though specific parameters were not provided for this illustrative report. For a real calculation, these would be collected.</w:t>
      </w:r>
    </w:p>
    <w:bookmarkEnd w:id="32"/>
    <w:bookmarkStart w:id="33" w:name="transport-scope-3---upstream"/>
    <w:p>
      <w:pPr>
        <w:pStyle w:val="Heading3"/>
      </w:pPr>
      <w:r>
        <w:t xml:space="preserve">2.3. Transport (Scope 3 - Upstream)</w:t>
      </w:r>
    </w:p>
    <w:p>
      <w:pPr>
        <w:pStyle w:val="FirstParagraph"/>
      </w:pPr>
      <w:r>
        <w:t xml:space="preserve">Logistics data is incorporated into the supply chain analysis to accurately reflect the emissions associated with moving materials.</w:t>
      </w:r>
    </w:p>
    <w:p>
      <w:pPr>
        <w:numPr>
          <w:ilvl w:val="0"/>
          <w:numId w:val="1003"/>
        </w:numPr>
      </w:pPr>
      <w:r>
        <w:rPr>
          <w:bCs/>
          <w:b/>
        </w:rPr>
        <w:t xml:space="preserve">Transport Mode:</w:t>
      </w:r>
      <w:r>
        <w:t xml:space="preserve"> </w:t>
      </w:r>
      <w:r>
        <w:t xml:space="preserve">The primary transport mode used for materials from Europe to the production facility in China is</w:t>
      </w:r>
      <w:r>
        <w:t xml:space="preserve"> </w:t>
      </w:r>
      <w:r>
        <w:rPr>
          <w:bCs/>
          <w:b/>
        </w:rPr>
        <w:t xml:space="preserve">Select Mode</w:t>
      </w:r>
      <w:r>
        <w:t xml:space="preserve">. (e.g., container ship, rail freight, truck).</w:t>
      </w:r>
    </w:p>
    <w:p>
      <w:pPr>
        <w:numPr>
          <w:ilvl w:val="0"/>
          <w:numId w:val="1003"/>
        </w:numPr>
      </w:pPr>
      <w:r>
        <w:rPr>
          <w:bCs/>
          <w:b/>
        </w:rPr>
        <w:t xml:space="preserve">Transport Distance:</w:t>
      </w:r>
      <w:r>
        <w:t xml:space="preserve"> </w:t>
      </w:r>
      <w:r>
        <w:t xml:space="preserve">The average transport distance is</w:t>
      </w:r>
      <w:r>
        <w:t xml:space="preserve"> </w:t>
      </w:r>
      <w:r>
        <w:rPr>
          <w:bCs/>
          <w:b/>
        </w:rPr>
        <w:t xml:space="preserve">qemxuktexh km</w:t>
      </w:r>
      <w:r>
        <w:t xml:space="preserve">. This distance, combined with the selected transport mode and its specific emission factor, determines the logistics footprint.</w:t>
      </w:r>
    </w:p>
    <w:bookmarkEnd w:id="33"/>
    <w:bookmarkStart w:id="34" w:name="use-phase-scope-3"/>
    <w:p>
      <w:pPr>
        <w:pStyle w:val="Heading3"/>
      </w:pPr>
      <w:r>
        <w:t xml:space="preserve">2.4. Use Phase (Scope 3)</w:t>
      </w:r>
    </w:p>
    <w:p>
      <w:pPr>
        <w:pStyle w:val="FirstParagraph"/>
      </w:pPr>
      <w:r>
        <w:t xml:space="preserve">The use phase calculation is expanded using the specific durability and consumption data provided.</w:t>
      </w:r>
    </w:p>
    <w:p>
      <w:pPr>
        <w:numPr>
          <w:ilvl w:val="0"/>
          <w:numId w:val="1004"/>
        </w:numPr>
      </w:pPr>
      <w:r>
        <w:rPr>
          <w:bCs/>
          <w:b/>
        </w:rPr>
        <w:t xml:space="preserve">Product Lifespan:</w:t>
      </w:r>
      <w:r>
        <w:t xml:space="preserve"> </w:t>
      </w:r>
      <w:r>
        <w:t xml:space="preserve">The product hwrqyzhrio has a lifespan of</w:t>
      </w:r>
      <w:r>
        <w:t xml:space="preserve"> </w:t>
      </w:r>
      <w:r>
        <w:rPr>
          <w:bCs/>
          <w:b/>
        </w:rPr>
        <w:t xml:space="preserve">dzhxxeftpg</w:t>
      </w:r>
      <w:r>
        <w:t xml:space="preserve">. This dictates the period over which use-phase energy consumption is spread.</w:t>
      </w:r>
    </w:p>
    <w:p>
      <w:pPr>
        <w:numPr>
          <w:ilvl w:val="0"/>
          <w:numId w:val="1004"/>
        </w:numPr>
      </w:pPr>
      <w:r>
        <w:rPr>
          <w:bCs/>
          <w:b/>
        </w:rPr>
        <w:t xml:space="preserve">Energy Consumption in Use:</w:t>
      </w:r>
      <w:r>
        <w:t xml:space="preserve"> </w:t>
      </w:r>
      <w:r>
        <w:t xml:space="preserve">During its lifespan, the product consumes</w:t>
      </w:r>
      <w:r>
        <w:t xml:space="preserve"> </w:t>
      </w:r>
      <w:r>
        <w:rPr>
          <w:bCs/>
          <w:b/>
        </w:rPr>
        <w:t xml:space="preserve">zzxgixmkpf</w:t>
      </w:r>
      <w:r>
        <w:t xml:space="preserve"> </w:t>
      </w:r>
      <w:r>
        <w:t xml:space="preserve">(e.g., kWh/year) of energy. This is a crucial parameter for products that require energy during their operational life, contributing to Scope 3 downstream emissions.</w:t>
      </w:r>
    </w:p>
    <w:p>
      <w:pPr>
        <w:numPr>
          <w:ilvl w:val="0"/>
          <w:numId w:val="1000"/>
        </w:numPr>
      </w:pPr>
      <w:r>
        <w:t xml:space="preserve">The 2026 GHG Protocol Scope 3 revisions, moving towards "stock-based accounting" for use-phase emissions, reward product durability by annualizing emissions over the product\'s active life. This approach acknowledges longer lifespans reduce the annual impact.</w:t>
      </w:r>
    </w:p>
    <w:bookmarkEnd w:id="34"/>
    <w:bookmarkStart w:id="36" w:name="end-of-life-eol-scenarios-scope-3"/>
    <w:p>
      <w:pPr>
        <w:pStyle w:val="Heading3"/>
      </w:pPr>
      <w:r>
        <w:t xml:space="preserve">2.5. End-of-Life (EoL) Scenarios (Scope 3)</w:t>
      </w:r>
    </w:p>
    <w:p>
      <w:pPr>
        <w:pStyle w:val="FirstParagraph"/>
      </w:pPr>
      <w:r>
        <w:t xml:space="preserve">End-of-Life (EoL) scenarios are incorporated to reflect circular economy impacts.</w:t>
      </w:r>
    </w:p>
    <w:p>
      <w:pPr>
        <w:numPr>
          <w:ilvl w:val="0"/>
          <w:numId w:val="1005"/>
        </w:numPr>
      </w:pPr>
      <w:r>
        <w:rPr>
          <w:bCs/>
          <w:b/>
        </w:rPr>
        <w:t xml:space="preserve">Recyclability Percentage:</w:t>
      </w:r>
      <w:r>
        <w:t xml:space="preserve"> </w:t>
      </w:r>
      <w:r>
        <w:t xml:space="preserve">The product hwrqyzhrio has a recyclability percentage of</w:t>
      </w:r>
      <w:r>
        <w:t xml:space="preserve"> </w:t>
      </w:r>
      <w:r>
        <w:rPr>
          <w:bCs/>
          <w:b/>
        </w:rPr>
        <w:t xml:space="preserve">jikytojrqf %</w:t>
      </w:r>
      <w:r>
        <w:t xml:space="preserve">. This percentage is used to credit the PCF for materials recovered and diverted from landfill or incineration, reducing the overall environmental impact.</w:t>
      </w:r>
    </w:p>
    <w:p>
      <w:pPr>
        <w:numPr>
          <w:ilvl w:val="0"/>
          <w:numId w:val="1005"/>
        </w:numPr>
      </w:pPr>
      <w:r>
        <w:rPr>
          <w:bCs/>
          <w:b/>
        </w:rPr>
        <w:t xml:space="preserve">Circular/Take-back Programs:</w:t>
      </w:r>
      <w:r>
        <w:t xml:space="preserve"> </w:t>
      </w:r>
      <w:r>
        <w:t xml:space="preserve">The company participates in</w:t>
      </w:r>
      <w:r>
        <w:t xml:space="preserve"> </w:t>
      </w:r>
      <w:r>
        <w:rPr>
          <w:bCs/>
          <w:b/>
        </w:rPr>
        <w:t xml:space="preserve">elyimidzzp</w:t>
      </w:r>
      <w:r>
        <w:t xml:space="preserve"> </w:t>
      </w:r>
      <w:r>
        <w:t xml:space="preserve">(e.g., a specific take-back program, refurbishment initiative). These programs further reduce EoL impacts by extending product life or ensuring higher quality recycling/reuse, aligning with circular economy principles.</w:t>
      </w:r>
    </w:p>
    <w:p>
      <w:pPr>
        <w:numPr>
          <w:ilvl w:val="0"/>
          <w:numId w:val="1005"/>
        </w:numPr>
      </w:pPr>
      <w:r>
        <w:rPr>
          <w:bCs/>
          <w:b/>
        </w:rPr>
        <w:t xml:space="preserve">Last-Mile Delivery Channel (Scope 3 - Downstream):</w:t>
      </w:r>
      <w:r>
        <w:t xml:space="preserve"> </w:t>
      </w:r>
      <w:r>
        <w:t xml:space="preserve">The last-mile delivery channel is specified as</w:t>
      </w:r>
      <w:r>
        <w:t xml:space="preserve"> </w:t>
      </w:r>
      <w:r>
        <w:rPr>
          <w:bCs/>
          <w:b/>
        </w:rPr>
        <w:t xml:space="preserve">Delivery Type</w:t>
      </w:r>
      <w:r>
        <w:t xml:space="preserve">. This defines the final mode of transport to the end-user, contributing to downstream distribution emissions.</w:t>
      </w:r>
    </w:p>
    <w:bookmarkStart w:id="35" w:name="data-collection-summary"/>
    <w:p>
      <w:pPr>
        <w:pStyle w:val="Heading4"/>
      </w:pPr>
      <w:r>
        <w:t xml:space="preserve">Data Collection Summary</w:t>
      </w:r>
    </w:p>
    <w:p>
      <w:pPr>
        <w:pStyle w:val="FirstParagraph"/>
      </w:pPr>
      <w:r>
        <w:t xml:space="preserve">Data collection prioritized primary data (e.g., BOM quantities, energy consumption, transport distances) where available. For missing data points, secondary data from reputable life cycle inventory (LCI) databases like Ecoinvent and DEFRA are employed to ensure robust calculations.</w:t>
      </w:r>
    </w:p>
    <w:p>
      <w:r>
        <w:pict>
          <v:rect style="width:0;height:1.5pt" o:hralign="center" o:hrstd="t" o:hr="t"/>
        </w:pict>
      </w:r>
    </w:p>
    <w:bookmarkEnd w:id="35"/>
    <w:bookmarkEnd w:id="36"/>
    <w:bookmarkEnd w:id="37"/>
    <w:bookmarkStart w:id="45" w:name="calculate-emissions"/>
    <w:p>
      <w:pPr>
        <w:pStyle w:val="Heading2"/>
      </w:pPr>
      <w:r>
        <w:t xml:space="preserve">4. Calculate Emissions</w:t>
      </w:r>
    </w:p>
    <w:p>
      <w:pPr>
        <w:pStyle w:val="FirstParagraph"/>
      </w:pPr>
      <w:r>
        <w:t xml:space="preserve">The emission calculation follows the activity data multiplied by appropriate emission factors, yielding results in CO₂ equivalent (CO₂e). This step adheres to the GHG Protocol\'s classification of emissions into Scope 1, Scope 2, and Scope 3.</w:t>
      </w:r>
    </w:p>
    <w:bookmarkStart w:id="38" w:name="emission-factor-sources"/>
    <w:p>
      <w:pPr>
        <w:pStyle w:val="Heading3"/>
      </w:pPr>
      <w:r>
        <w:t xml:space="preserve">4.1. Emission Factor Sources</w:t>
      </w:r>
    </w:p>
    <w:p>
      <w:pPr>
        <w:pStyle w:val="FirstParagraph"/>
      </w:pPr>
      <w:r>
        <w:t xml:space="preserve">Industry-standard emission factors are crucial for accurate PCF calculations. For this analysis, emission factors are drawn from reputable databases such as Ecoinvent and DEFRA.</w:t>
      </w:r>
    </w:p>
    <w:p>
      <w:pPr>
        <w:numPr>
          <w:ilvl w:val="0"/>
          <w:numId w:val="1006"/>
        </w:numPr>
        <w:pStyle w:val="Compact"/>
      </w:pPr>
      <w:r>
        <w:rPr>
          <w:bCs/>
          <w:b/>
        </w:rPr>
        <w:t xml:space="preserve">Ecoinvent:</w:t>
      </w:r>
      <w:r>
        <w:t xml:space="preserve"> </w:t>
      </w:r>
      <w:r>
        <w:t xml:space="preserve">A comprehensive life cycle inventory database providing regional and global average GHG emission factors for a vast array of materials, processes, and energy carriers. It is particularly valuable for Scope 3 upstream reporting, helping to fill data gaps for complex supply chains.</w:t>
      </w:r>
    </w:p>
    <w:p>
      <w:pPr>
        <w:numPr>
          <w:ilvl w:val="0"/>
          <w:numId w:val="1006"/>
        </w:numPr>
        <w:pStyle w:val="Compact"/>
      </w:pPr>
      <w:r>
        <w:rPr>
          <w:bCs/>
          <w:b/>
        </w:rPr>
        <w:t xml:space="preserve">DEFRA (Department for Environment, Food and Rural Affairs, UK):</w:t>
      </w:r>
      <w:r>
        <w:t xml:space="preserve"> </w:t>
      </w:r>
      <w:r>
        <w:t xml:space="preserve">Provides annually updated GHG conversion factors, especially useful for transport modes and specific energy types.</w:t>
      </w:r>
    </w:p>
    <w:bookmarkEnd w:id="38"/>
    <w:bookmarkStart w:id="42" w:name="X709705f456eefbeec41a6585aa4f70a72d4627c"/>
    <w:p>
      <w:pPr>
        <w:pStyle w:val="Heading3"/>
      </w:pPr>
      <w:r>
        <w:t xml:space="preserve">4.2. GHG Protocol Categorization and Calculation Principles</w:t>
      </w:r>
    </w:p>
    <w:p>
      <w:pPr>
        <w:pStyle w:val="FirstParagraph"/>
      </w:pPr>
      <w:r>
        <w:t xml:space="preserve">Emissions are categorized as follows:</w:t>
      </w:r>
    </w:p>
    <w:p>
      <w:pPr>
        <w:numPr>
          <w:ilvl w:val="0"/>
          <w:numId w:val="1007"/>
        </w:numPr>
        <w:pStyle w:val="Heading4"/>
      </w:pPr>
      <w:bookmarkStart w:id="39" w:name="scope-1-emissions-direct-emissions"/>
      <w:r>
        <w:t xml:space="preserve">Scope 1 Emissions (Direct Emissions):</w:t>
      </w:r>
      <w:bookmarkEnd w:id="39"/>
    </w:p>
    <w:p>
      <w:pPr>
        <w:numPr>
          <w:ilvl w:val="0"/>
          <w:numId w:val="1000"/>
        </w:numPr>
      </w:pPr>
      <w:r>
        <w:t xml:space="preserve">These are direct GHG emissions from sources owned or controlled by sxoyofmiuh\'s production facility for hwrqyzhrio. This would include emissions from on-site fuel combustion (e.g., boilers, company vehicles) and any process emissions. (</w:t>
      </w:r>
      <w:r>
        <w:rPr>
          <w:iCs/>
          <w:i/>
        </w:rPr>
        <w:t xml:space="preserve">For this illustrative report, specific Scope 1 data for the factory was not provided, so these are noted as to be calculated based on operational data.</w:t>
      </w:r>
      <w:r>
        <w:t xml:space="preserve">)</w:t>
      </w:r>
    </w:p>
    <w:p>
      <w:pPr>
        <w:numPr>
          <w:ilvl w:val="0"/>
          <w:numId w:val="1000"/>
        </w:numPr>
      </w:pPr>
      <w:r>
        <w:t xml:space="preserve">Calculation: ∑ (Activity Data</w:t>
      </w:r>
      <w:r>
        <w:rPr>
          <w:vertAlign w:val="subscript"/>
        </w:rPr>
        <w:t xml:space="preserve">Scope 1</w:t>
      </w:r>
      <w:r>
        <w:t xml:space="preserve"> </w:t>
      </w:r>
      <w:r>
        <w:t xml:space="preserve">× Emission Factor</w:t>
      </w:r>
      <w:r>
        <w:rPr>
          <w:vertAlign w:val="subscript"/>
        </w:rPr>
        <w:t xml:space="preserve">Scope 1</w:t>
      </w:r>
      <w:r>
        <w:t xml:space="preserve">) = CO₂e</w:t>
      </w:r>
    </w:p>
    <w:p>
      <w:pPr>
        <w:numPr>
          <w:ilvl w:val="0"/>
          <w:numId w:val="1007"/>
        </w:numPr>
        <w:pStyle w:val="Heading4"/>
      </w:pPr>
      <w:bookmarkStart w:id="40" w:name="X2d8d685b47aa894fb1e052b68fb751e5e9e47f0"/>
      <w:r>
        <w:t xml:space="preserve">Scope 2 Emissions (Energy Indirect Emissions):</w:t>
      </w:r>
      <w:bookmarkEnd w:id="40"/>
    </w:p>
    <w:p>
      <w:pPr>
        <w:numPr>
          <w:ilvl w:val="0"/>
          <w:numId w:val="1000"/>
        </w:numPr>
      </w:pPr>
      <w:r>
        <w:t xml:space="preserve">These are indirect GHG emissions from the generation of purchased electricity, heat, or steam consumed by the reporting company. The energy intensity</w:t>
      </w:r>
      <w:r>
        <w:t xml:space="preserve"> </w:t>
      </w:r>
      <w:r>
        <w:rPr>
          <w:bCs/>
          <w:b/>
        </w:rPr>
        <w:t xml:space="preserve">nvseloivqi kWh/unit</w:t>
      </w:r>
      <w:r>
        <w:t xml:space="preserve"> </w:t>
      </w:r>
      <w:r>
        <w:t xml:space="preserve">and renewable energy usage</w:t>
      </w:r>
      <w:r>
        <w:t xml:space="preserve"> </w:t>
      </w:r>
      <w:r>
        <w:rPr>
          <w:bCs/>
          <w:b/>
        </w:rPr>
        <w:t xml:space="preserve">hrmtofkrvt</w:t>
      </w:r>
      <w:r>
        <w:t xml:space="preserve"> </w:t>
      </w:r>
      <w:r>
        <w:t xml:space="preserve">are applied here.</w:t>
      </w:r>
    </w:p>
    <w:p>
      <w:pPr>
        <w:numPr>
          <w:ilvl w:val="0"/>
          <w:numId w:val="1000"/>
        </w:numPr>
      </w:pPr>
      <w:r>
        <w:t xml:space="preserve">Calculation: (Total Electricity Consumption × (1 - Renewable Energy Usage %)) × Grid Emission Factor + (Total Electricity Consumption × Renewable Energy Usage %) × Renewable Energy Emission Factor = CO₂e</w:t>
      </w:r>
    </w:p>
    <w:p>
      <w:pPr>
        <w:numPr>
          <w:ilvl w:val="0"/>
          <w:numId w:val="1000"/>
        </w:numPr>
      </w:pPr>
      <w:r>
        <w:rPr>
          <w:iCs/>
          <w:i/>
        </w:rPr>
        <w:t xml:space="preserve">(Using the provided `nvseloivqi` and `hrmtofkrvt` for the production phase, the net grid electricity consumption is determined, and the appropriate grid emission factors for China are applied.)</w:t>
      </w:r>
    </w:p>
    <w:p>
      <w:pPr>
        <w:numPr>
          <w:ilvl w:val="0"/>
          <w:numId w:val="1007"/>
        </w:numPr>
        <w:pStyle w:val="Heading4"/>
      </w:pPr>
      <w:bookmarkStart w:id="41" w:name="Xa4ae47cf428664338de6136b1752768d982738f"/>
      <w:r>
        <w:t xml:space="preserve">Scope 3 Emissions (Other Indirect Emissions - Value Chain):</w:t>
      </w:r>
      <w:bookmarkEnd w:id="41"/>
    </w:p>
    <w:p>
      <w:pPr>
        <w:numPr>
          <w:ilvl w:val="0"/>
          <w:numId w:val="1000"/>
        </w:numPr>
      </w:pPr>
      <w:r>
        <w:t xml:space="preserve">These are all other indirect GHG emissions that occur in the value chain of sxoyofmiuh, both upstream and downstream. This is typically the most significant and complex scope for PCF analysis. Key categories addressed include:</w:t>
      </w:r>
    </w:p>
    <w:p>
      <w:pPr>
        <w:numPr>
          <w:ilvl w:val="1"/>
          <w:numId w:val="1008"/>
        </w:numPr>
        <w:pStyle w:val="Compact"/>
      </w:pPr>
      <w:r>
        <w:rPr>
          <w:bCs/>
          <w:b/>
        </w:rPr>
        <w:t xml:space="preserve">Category 1: Purchased Goods and Services:</w:t>
      </w:r>
      <w:r>
        <w:t xml:space="preserve"> </w:t>
      </w:r>
      <w:r>
        <w:t xml:space="preserve">Emissions from the production of all materials specified in the detailed BOM</w:t>
      </w:r>
      <w:r>
        <w:t xml:space="preserve"> </w:t>
      </w:r>
      <w:r>
        <w:rPr>
          <w:bCs/>
          <w:b/>
        </w:rPr>
        <w:t xml:space="preserve">yzndmynq</w:t>
      </w:r>
      <w:r>
        <w:t xml:space="preserve">, using material-specific emission factors.</w:t>
      </w:r>
    </w:p>
    <w:p>
      <w:pPr>
        <w:numPr>
          <w:ilvl w:val="1"/>
          <w:numId w:val="1008"/>
        </w:numPr>
        <w:pStyle w:val="Compact"/>
      </w:pPr>
      <w:r>
        <w:rPr>
          <w:bCs/>
          <w:b/>
        </w:rPr>
        <w:t xml:space="preserve">Category 4: Upstream Transportation and Distribution:</w:t>
      </w:r>
      <w:r>
        <w:t xml:space="preserve"> </w:t>
      </w:r>
      <w:r>
        <w:t xml:space="preserve">Emissions from the transport of raw materials to the manufacturing facility, utilizing the specified</w:t>
      </w:r>
      <w:r>
        <w:t xml:space="preserve"> </w:t>
      </w:r>
      <w:r>
        <w:rPr>
          <w:bCs/>
          <w:b/>
        </w:rPr>
        <w:t xml:space="preserve">Select Mode</w:t>
      </w:r>
      <w:r>
        <w:t xml:space="preserve"> </w:t>
      </w:r>
      <w:r>
        <w:t xml:space="preserve">and</w:t>
      </w:r>
      <w:r>
        <w:t xml:space="preserve"> </w:t>
      </w:r>
      <w:r>
        <w:rPr>
          <w:bCs/>
          <w:b/>
        </w:rPr>
        <w:t xml:space="preserve">qemxuktexh</w:t>
      </w:r>
      <w:r>
        <w:t xml:space="preserve"> </w:t>
      </w:r>
      <w:r>
        <w:t xml:space="preserve">distance.</w:t>
      </w:r>
    </w:p>
    <w:p>
      <w:pPr>
        <w:numPr>
          <w:ilvl w:val="1"/>
          <w:numId w:val="1008"/>
        </w:numPr>
        <w:pStyle w:val="Compact"/>
      </w:pPr>
      <w:r>
        <w:rPr>
          <w:bCs/>
          <w:b/>
        </w:rPr>
        <w:t xml:space="preserve">Category 11: Use of Sold Products:</w:t>
      </w:r>
      <w:r>
        <w:t xml:space="preserve"> </w:t>
      </w:r>
      <w:r>
        <w:t xml:space="preserve">Emissions from the energy consumed during the product\'s lifespan, based on</w:t>
      </w:r>
      <w:r>
        <w:t xml:space="preserve"> </w:t>
      </w:r>
      <w:r>
        <w:rPr>
          <w:bCs/>
          <w:b/>
        </w:rPr>
        <w:t xml:space="preserve">dzhxxeftpg</w:t>
      </w:r>
      <w:r>
        <w:t xml:space="preserve"> </w:t>
      </w:r>
      <w:r>
        <w:t xml:space="preserve">lifespan and</w:t>
      </w:r>
      <w:r>
        <w:t xml:space="preserve"> </w:t>
      </w:r>
      <w:r>
        <w:rPr>
          <w:bCs/>
          <w:b/>
        </w:rPr>
        <w:t xml:space="preserve">zzxgixmkpf</w:t>
      </w:r>
      <w:r>
        <w:t xml:space="preserve"> </w:t>
      </w:r>
      <w:r>
        <w:t xml:space="preserve">energy consumption in use.</w:t>
      </w:r>
    </w:p>
    <w:p>
      <w:pPr>
        <w:numPr>
          <w:ilvl w:val="1"/>
          <w:numId w:val="1008"/>
        </w:numPr>
        <w:pStyle w:val="Compact"/>
      </w:pPr>
      <w:r>
        <w:rPr>
          <w:bCs/>
          <w:b/>
        </w:rPr>
        <w:t xml:space="preserve">Category 12: End-of-Life Treatment of Sold Products:</w:t>
      </w:r>
      <w:r>
        <w:t xml:space="preserve"> </w:t>
      </w:r>
      <w:r>
        <w:t xml:space="preserve">Emissions (or avoided emissions) associated with the disposal, recycling (based on</w:t>
      </w:r>
      <w:r>
        <w:t xml:space="preserve"> </w:t>
      </w:r>
      <w:r>
        <w:rPr>
          <w:bCs/>
          <w:b/>
        </w:rPr>
        <w:t xml:space="preserve">jikytojrqf %</w:t>
      </w:r>
      <w:r>
        <w:t xml:space="preserve"> </w:t>
      </w:r>
      <w:r>
        <w:t xml:space="preserve">recyclability), and any circular/take-back programs (</w:t>
      </w:r>
      <w:r>
        <w:rPr>
          <w:bCs/>
          <w:b/>
        </w:rPr>
        <w:t xml:space="preserve">elyimidzzp</w:t>
      </w:r>
      <w:r>
        <w:t xml:space="preserve">).</w:t>
      </w:r>
    </w:p>
    <w:p>
      <w:pPr>
        <w:numPr>
          <w:ilvl w:val="1"/>
          <w:numId w:val="1008"/>
        </w:numPr>
        <w:pStyle w:val="Compact"/>
      </w:pPr>
      <w:r>
        <w:rPr>
          <w:bCs/>
          <w:b/>
        </w:rPr>
        <w:t xml:space="preserve">Category 9: Downstream Transportation and Distribution:</w:t>
      </w:r>
      <w:r>
        <w:t xml:space="preserve"> </w:t>
      </w:r>
      <w:r>
        <w:t xml:space="preserve">Emissions from the last-mile delivery via</w:t>
      </w:r>
      <w:r>
        <w:t xml:space="preserve"> </w:t>
      </w:r>
      <w:r>
        <w:rPr>
          <w:bCs/>
          <w:b/>
        </w:rPr>
        <w:t xml:space="preserve">Delivery Type</w:t>
      </w:r>
      <w:r>
        <w:t xml:space="preserve">.</w:t>
      </w:r>
    </w:p>
    <w:p>
      <w:pPr>
        <w:numPr>
          <w:ilvl w:val="0"/>
          <w:numId w:val="1000"/>
        </w:numPr>
      </w:pPr>
      <w:r>
        <w:t xml:space="preserve">Calculation: ∑ (Activity Data</w:t>
      </w:r>
      <w:r>
        <w:rPr>
          <w:vertAlign w:val="subscript"/>
        </w:rPr>
        <w:t xml:space="preserve">Scope 3 Category</w:t>
      </w:r>
      <w:r>
        <w:t xml:space="preserve"> </w:t>
      </w:r>
      <w:r>
        <w:t xml:space="preserve">× Emission Factor</w:t>
      </w:r>
      <w:r>
        <w:rPr>
          <w:vertAlign w:val="subscript"/>
        </w:rPr>
        <w:t xml:space="preserve">Scope 3 Category</w:t>
      </w:r>
      <w:r>
        <w:t xml:space="preserve">) = CO₂e</w:t>
      </w:r>
    </w:p>
    <w:bookmarkEnd w:id="42"/>
    <w:bookmarkStart w:id="43" w:name="lsr-standard-application"/>
    <w:p>
      <w:pPr>
        <w:pStyle w:val="Heading3"/>
      </w:pPr>
      <w:r>
        <w:t xml:space="preserve">4.3. 2026 LSR Standard Application</w:t>
      </w:r>
    </w:p>
    <w:p>
      <w:pPr>
        <w:pStyle w:val="FirstParagraph"/>
      </w:pPr>
      <w:r>
        <w:t xml:space="preserve">While the primary system boundary is "factory_gate", the principles of the GHG Protocol\'s</w:t>
      </w:r>
      <w:r>
        <w:t xml:space="preserve"> </w:t>
      </w:r>
      <w:r>
        <w:rPr>
          <w:bCs/>
          <w:b/>
        </w:rPr>
        <w:t xml:space="preserve">Land Sector and Removals (LSR) Standard</w:t>
      </w:r>
      <w:r>
        <w:t xml:space="preserve"> </w:t>
      </w:r>
      <w:r>
        <w:t xml:space="preserve">(effective January 1, 2027) are considered. If any raw materials or pre-processing steps in the BOM</w:t>
      </w:r>
      <w:r>
        <w:t xml:space="preserve"> </w:t>
      </w:r>
      <w:r>
        <w:rPr>
          <w:bCs/>
          <w:b/>
        </w:rPr>
        <w:t xml:space="preserve">yzndmynq</w:t>
      </w:r>
      <w:r>
        <w:t xml:space="preserve"> </w:t>
      </w:r>
      <w:r>
        <w:t xml:space="preserve">were derived from significant land-sector activities (e.g., agriculture, forestry), their associated land use change emissions or biogenic carbon removals would be accounted for in accordance with the LSR Standard. For example, if packaging or other biomass-derived components had a direct link to land-use change, these impacts would be quantified and reported.</w:t>
      </w:r>
    </w:p>
    <w:bookmarkEnd w:id="43"/>
    <w:bookmarkStart w:id="44" w:name="scope-3-95-coverage"/>
    <w:p>
      <w:pPr>
        <w:pStyle w:val="Heading3"/>
      </w:pPr>
      <w:r>
        <w:t xml:space="preserve">4.4. Scope 3 95% Coverage</w:t>
      </w:r>
    </w:p>
    <w:p>
      <w:pPr>
        <w:pStyle w:val="FirstParagraph"/>
      </w:pPr>
      <w:r>
        <w:t xml:space="preserve">In line with the</w:t>
      </w:r>
      <w:r>
        <w:t xml:space="preserve"> </w:t>
      </w:r>
      <w:r>
        <w:rPr>
          <w:bCs/>
          <w:b/>
        </w:rPr>
        <w:t xml:space="preserve">2026 GHG Protocol Scope 3 requirements</w:t>
      </w:r>
      <w:r>
        <w:t xml:space="preserve">, this analysis aims for at least 95% coverage of total required Scope 3 emissions. This involves meticulously identifying and quantifying all material Scope 3 categories to ensure no significant sources of emissions are excluded. Any potential exclusions would be rigorously justified, quantified, and transparently disclosed, ensuring they do not exceed the 5% threshold. The data collection strategy focused on obtaining granular data for high-impact categories to meet this stringent coverage requirement.</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and-reliability"/>
    <w:p>
      <w:pPr>
        <w:pStyle w:val="Heading3"/>
      </w:pPr>
      <w:r>
        <w:t xml:space="preserve">5.1. Emission Hotspots and Reliability</w:t>
      </w:r>
    </w:p>
    <w:p>
      <w:pPr>
        <w:pStyle w:val="FirstParagraph"/>
      </w:pPr>
      <w:r>
        <w:t xml:space="preserve">Based on typical product lifecycles and the parameters provided for hwrqyzhrio, potential emission hotspots are anticipated in the following areas:</w:t>
      </w:r>
    </w:p>
    <w:p>
      <w:pPr>
        <w:numPr>
          <w:ilvl w:val="0"/>
          <w:numId w:val="1009"/>
        </w:numPr>
        <w:pStyle w:val="Compact"/>
      </w:pPr>
      <w:r>
        <w:rPr>
          <w:bCs/>
          <w:b/>
        </w:rPr>
        <w:t xml:space="preserve">Material Production (Scope 3 - Purchased Goods and Services):</w:t>
      </w:r>
      <w:r>
        <w:t xml:space="preserve"> </w:t>
      </w:r>
      <w:r>
        <w:t xml:space="preserve">Given the "high-detail" BOM</w:t>
      </w:r>
      <w:r>
        <w:t xml:space="preserve"> </w:t>
      </w:r>
      <w:r>
        <w:rPr>
          <w:bCs/>
          <w:b/>
        </w:rPr>
        <w:t xml:space="preserve">yzndmynq</w:t>
      </w:r>
      <w:r>
        <w:t xml:space="preserve">, the production of primary materials such as Aluminium Alloy Sheet, ABS Plastic, and Silicon Chip (MAT001, MAT002, MAT004) often represents a substantial portion of a product\'s upstream footprint, especially if energy-intensive processes are involved.</w:t>
      </w:r>
    </w:p>
    <w:p>
      <w:pPr>
        <w:numPr>
          <w:ilvl w:val="0"/>
          <w:numId w:val="1009"/>
        </w:numPr>
        <w:pStyle w:val="Compact"/>
      </w:pPr>
      <w:r>
        <w:rPr>
          <w:bCs/>
          <w:b/>
        </w:rPr>
        <w:t xml:space="preserve">Manufacturing Energy (Scope 2):</w:t>
      </w:r>
      <w:r>
        <w:t xml:space="preserve"> </w:t>
      </w:r>
      <w:r>
        <w:t xml:space="preserve">The energy intensity</w:t>
      </w:r>
      <w:r>
        <w:t xml:space="preserve"> </w:t>
      </w:r>
      <w:r>
        <w:rPr>
          <w:bCs/>
          <w:b/>
        </w:rPr>
        <w:t xml:space="preserve">nvseloivqi kWh/unit</w:t>
      </w:r>
      <w:r>
        <w:t xml:space="preserve"> </w:t>
      </w:r>
      <w:r>
        <w:t xml:space="preserve">at the production facility in China, even with</w:t>
      </w:r>
      <w:r>
        <w:t xml:space="preserve"> </w:t>
      </w:r>
      <w:r>
        <w:rPr>
          <w:bCs/>
          <w:b/>
        </w:rPr>
        <w:t xml:space="preserve">hrmtofkrvt</w:t>
      </w:r>
      <w:r>
        <w:t xml:space="preserve"> </w:t>
      </w:r>
      <w:r>
        <w:t xml:space="preserve">renewable energy usage, can be a significant contributor if the remaining grid electricity mix is carbon-intensive.</w:t>
      </w:r>
    </w:p>
    <w:p>
      <w:pPr>
        <w:numPr>
          <w:ilvl w:val="0"/>
          <w:numId w:val="1009"/>
        </w:numPr>
        <w:pStyle w:val="Compact"/>
      </w:pPr>
      <w:r>
        <w:rPr>
          <w:bCs/>
          <w:b/>
        </w:rPr>
        <w:t xml:space="preserve">Use Phase Energy Consumption (Scope 3 - Use of Sold Products):</w:t>
      </w:r>
      <w:r>
        <w:t xml:space="preserve"> </w:t>
      </w:r>
      <w:r>
        <w:t xml:space="preserve">For products with a long lifespan (</w:t>
      </w:r>
      <w:r>
        <w:rPr>
          <w:bCs/>
          <w:b/>
        </w:rPr>
        <w:t xml:space="preserve">dzhxxeftpg</w:t>
      </w:r>
      <w:r>
        <w:t xml:space="preserve">) and continuous energy consumption (</w:t>
      </w:r>
      <w:r>
        <w:rPr>
          <w:bCs/>
          <w:b/>
        </w:rPr>
        <w:t xml:space="preserve">zzxgixmkpf</w:t>
      </w:r>
      <w:r>
        <w:t xml:space="preserve">), the use phase can often dominate the total PCF, depending on the energy source used by the end-consumer.</w:t>
      </w:r>
    </w:p>
    <w:p>
      <w:pPr>
        <w:numPr>
          <w:ilvl w:val="0"/>
          <w:numId w:val="1009"/>
        </w:numPr>
        <w:pStyle w:val="Compact"/>
      </w:pPr>
      <w:r>
        <w:rPr>
          <w:bCs/>
          <w:b/>
        </w:rPr>
        <w:t xml:space="preserve">Upstream Transportation (Scope 3 - Transportation and Distribution):</w:t>
      </w:r>
      <w:r>
        <w:t xml:space="preserve"> </w:t>
      </w:r>
      <w:r>
        <w:t xml:space="preserve">The transport distance</w:t>
      </w:r>
      <w:r>
        <w:t xml:space="preserve"> </w:t>
      </w:r>
      <w:r>
        <w:rPr>
          <w:bCs/>
          <w:b/>
        </w:rPr>
        <w:t xml:space="preserve">qemxuktexh</w:t>
      </w:r>
      <w:r>
        <w:t xml:space="preserve"> </w:t>
      </w:r>
      <w:r>
        <w:t xml:space="preserve">and the selected mode</w:t>
      </w:r>
      <w:r>
        <w:t xml:space="preserve"> </w:t>
      </w:r>
      <w:r>
        <w:rPr>
          <w:bCs/>
          <w:b/>
        </w:rPr>
        <w:t xml:space="preserve">Select Mode</w:t>
      </w:r>
      <w:r>
        <w:t xml:space="preserve"> </w:t>
      </w:r>
      <w:r>
        <w:t xml:space="preserve">from Europe to China can result in considerable emissions, especially for heavy or bulky materials and less efficient transport modes.</w:t>
      </w:r>
    </w:p>
    <w:p>
      <w:pPr>
        <w:pStyle w:val="FirstParagraph"/>
      </w:pPr>
      <w:r>
        <w:t xml:space="preserve">The reliability of this PCF analysis is bolstered by the use of specific primary data points (BOM, energy usage, transport data) provided by sxoyofmiuh and the application of recognized secondary emission factor databases (Ecoinvent, DEFRA). Adherence to the GHG Protocol ensures methodological rigor.</w:t>
      </w:r>
    </w:p>
    <w:bookmarkEnd w:id="46"/>
    <w:bookmarkStart w:id="49" w:name="recommendations-for-mitigation"/>
    <w:p>
      <w:pPr>
        <w:pStyle w:val="Heading3"/>
      </w:pPr>
      <w:r>
        <w:t xml:space="preserve">5.2. Recommendations for Mitigation</w:t>
      </w:r>
    </w:p>
    <w:p>
      <w:pPr>
        <w:pStyle w:val="FirstParagraph"/>
      </w:pPr>
      <w:r>
        <w:t xml:space="preserve">To reduce the Product Carbon Footprint of hwrqyzhrio, sxoyofmiuh should consider the following actions:</w:t>
      </w:r>
    </w:p>
    <w:p>
      <w:pPr>
        <w:numPr>
          <w:ilvl w:val="0"/>
          <w:numId w:val="1010"/>
        </w:numPr>
        <w:pStyle w:val="Compact"/>
      </w:pPr>
      <w:r>
        <w:rPr>
          <w:bCs/>
          <w:b/>
        </w:rPr>
        <w:t xml:space="preserve">Material Optimization:</w:t>
      </w:r>
      <w:r>
        <w:t xml:space="preserve"> </w:t>
      </w:r>
      <w:r>
        <w:t xml:space="preserve">Explore opportunities to use lower-carbon alternative materials, increase recycled content in materials like aluminium and plastics, or lightweight components as per the detailed BOM</w:t>
      </w:r>
      <w:r>
        <w:t xml:space="preserve"> </w:t>
      </w:r>
      <w:r>
        <w:rPr>
          <w:bCs/>
          <w:b/>
        </w:rPr>
        <w:t xml:space="preserve">yzndmynq</w:t>
      </w:r>
      <w:r>
        <w:t xml:space="preserve">. Engage with suppliers to gain more specific, primary emission data for purchased goods.</w:t>
      </w:r>
    </w:p>
    <w:p>
      <w:pPr>
        <w:numPr>
          <w:ilvl w:val="0"/>
          <w:numId w:val="1010"/>
        </w:numPr>
        <w:pStyle w:val="Compact"/>
      </w:pPr>
      <w:r>
        <w:rPr>
          <w:bCs/>
          <w:b/>
        </w:rPr>
        <w:t xml:space="preserve">Manufacturing Efficiency &amp; Renewables:</w:t>
      </w:r>
      <w:r>
        <w:t xml:space="preserve"> </w:t>
      </w:r>
      <w:r>
        <w:t xml:space="preserve">Further increase the share of renewable energy at the production facility beyond</w:t>
      </w:r>
      <w:r>
        <w:t xml:space="preserve"> </w:t>
      </w:r>
      <w:r>
        <w:rPr>
          <w:bCs/>
          <w:b/>
        </w:rPr>
        <w:t xml:space="preserve">hrmtofkrvt</w:t>
      </w:r>
      <w:r>
        <w:t xml:space="preserve">. Implement energy efficiency measures to reduce the energy intensity</w:t>
      </w:r>
      <w:r>
        <w:t xml:space="preserve"> </w:t>
      </w:r>
      <w:r>
        <w:rPr>
          <w:bCs/>
          <w:b/>
        </w:rPr>
        <w:t xml:space="preserve">nvseloivqi kWh/unit</w:t>
      </w:r>
      <w:r>
        <w:t xml:space="preserve">.</w:t>
      </w:r>
    </w:p>
    <w:p>
      <w:pPr>
        <w:numPr>
          <w:ilvl w:val="0"/>
          <w:numId w:val="1010"/>
        </w:numPr>
        <w:pStyle w:val="Compact"/>
      </w:pPr>
      <w:r>
        <w:rPr>
          <w:bCs/>
          <w:b/>
        </w:rPr>
        <w:t xml:space="preserve">Logistics Optimization:</w:t>
      </w:r>
      <w:r>
        <w:t xml:space="preserve"> </w:t>
      </w:r>
      <w:r>
        <w:t xml:space="preserve">Investigate more carbon-efficient transport modes and optimized routes for materials from Europe, potentially shifting from "Select Mode" to lower-emission alternatives where feasible, or consolidating shipments to reduce the effective distance</w:t>
      </w:r>
      <w:r>
        <w:t xml:space="preserve"> </w:t>
      </w:r>
      <w:r>
        <w:rPr>
          <w:bCs/>
          <w:b/>
        </w:rPr>
        <w:t xml:space="preserve">qemxuktexh</w:t>
      </w:r>
      <w:r>
        <w:t xml:space="preserve">.</w:t>
      </w:r>
    </w:p>
    <w:p>
      <w:pPr>
        <w:numPr>
          <w:ilvl w:val="0"/>
          <w:numId w:val="1010"/>
        </w:numPr>
        <w:pStyle w:val="Compact"/>
      </w:pPr>
      <w:r>
        <w:rPr>
          <w:bCs/>
          <w:b/>
        </w:rPr>
        <w:t xml:space="preserve">Use Phase Design:</w:t>
      </w:r>
      <w:r>
        <w:t xml:space="preserve"> </w:t>
      </w:r>
      <w:r>
        <w:t xml:space="preserve">Design hwrqyzhrio for even greater energy efficiency during its use phase (reducing</w:t>
      </w:r>
      <w:r>
        <w:t xml:space="preserve"> </w:t>
      </w:r>
      <w:r>
        <w:rPr>
          <w:bCs/>
          <w:b/>
        </w:rPr>
        <w:t xml:space="preserve">zzxgixmkpf</w:t>
      </w:r>
      <w:r>
        <w:t xml:space="preserve">) and extend its lifespan (beyond</w:t>
      </w:r>
      <w:r>
        <w:t xml:space="preserve"> </w:t>
      </w:r>
      <w:r>
        <w:rPr>
          <w:bCs/>
          <w:b/>
        </w:rPr>
        <w:t xml:space="preserve">dzhxxeftpg</w:t>
      </w:r>
      <w:r>
        <w:t xml:space="preserve">) through modular design, repairability, and durability enhancements.</w:t>
      </w:r>
    </w:p>
    <w:p>
      <w:pPr>
        <w:numPr>
          <w:ilvl w:val="0"/>
          <w:numId w:val="1010"/>
        </w:numPr>
        <w:pStyle w:val="Compact"/>
      </w:pPr>
      <w:r>
        <w:rPr>
          <w:bCs/>
          <w:b/>
        </w:rPr>
        <w:t xml:space="preserve">Circular Economy Enhancement:</w:t>
      </w:r>
      <w:r>
        <w:t xml:space="preserve"> </w:t>
      </w:r>
      <w:r>
        <w:t xml:space="preserve">Bolster existing circular/take-back programs (</w:t>
      </w:r>
      <w:r>
        <w:rPr>
          <w:bCs/>
          <w:b/>
        </w:rPr>
        <w:t xml:space="preserve">elyimidzzp</w:t>
      </w:r>
      <w:r>
        <w:t xml:space="preserve">) and aim to increase the recyclability percentage</w:t>
      </w:r>
      <w:r>
        <w:t xml:space="preserve"> </w:t>
      </w:r>
      <w:r>
        <w:rPr>
          <w:bCs/>
          <w:b/>
        </w:rPr>
        <w:t xml:space="preserve">jikytojrqf %</w:t>
      </w:r>
      <w:r>
        <w:t xml:space="preserve"> </w:t>
      </w:r>
      <w:r>
        <w:t xml:space="preserve">to maximize material recovery and minimize waste. Explore product-as-a-service models where applicable.</w:t>
      </w:r>
    </w:p>
    <w:p>
      <w:pPr>
        <w:numPr>
          <w:ilvl w:val="0"/>
          <w:numId w:val="1010"/>
        </w:numPr>
        <w:pStyle w:val="Compact"/>
      </w:pPr>
      <w:r>
        <w:rPr>
          <w:bCs/>
          <w:b/>
        </w:rPr>
        <w:t xml:space="preserve">Data Improvement:</w:t>
      </w:r>
      <w:r>
        <w:t xml:space="preserve"> </w:t>
      </w:r>
      <w:r>
        <w:t xml:space="preserve">Continuously improve the quality of primary data collection across the value chain to enhance the accuracy and granularity of future PCF assessments, particularly for Scope 3 categories, aligning with the GHG Protocol\'s push for data disaggregation by source type.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7" w:name="page-number"/>
      <w:bookmarkEnd w:id="47"/>
      <w:r>
        <w:t xml:space="preserve"> </w:t>
      </w:r>
      <w:r>
        <w:t xml:space="preserve">of</w:t>
      </w:r>
      <w:r>
        <w:t xml:space="preserve"> </w:t>
      </w:r>
      <w:bookmarkStart w:id="48" w:name="total-pages"/>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hwrqyzhrio</dc:title>
  <dc:creator/>
  <dc:description>Detailed Product Carbon Footprint (PCF) analysis report for hwrqyzhrio, conducted by Senior Sustainability Consultant riqzgwixkl for sxoyofmiuh, adhering to GHG Protocol standards and 2026 updates.</dc:description>
  <dc:language>en</dc:language>
  <cp:keywords/>
  <dcterms:created xsi:type="dcterms:W3CDTF">2026-07-15T17:56:11Z</dcterms:created>
  <dcterms:modified xsi:type="dcterms:W3CDTF">2026-07-15T17:56:11Z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