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hvoxsmjfyl</w:t>
      </w:r>
    </w:p>
    <w:p>
      <w:pPr>
        <w:pStyle w:val="FirstParagraph"/>
      </w:pPr>
      <w:r>
        <w:rPr>
          <w:bCs/>
          <w:b/>
        </w:rPr>
        <w:t xml:space="preserve">carboncalcpcf.com</w:t>
      </w:r>
    </w:p>
    <w:bookmarkStart w:id="20" w:name="product-carbon-footprint-report"/>
    <w:p>
      <w:pPr>
        <w:pStyle w:val="Heading1"/>
      </w:pPr>
      <w:r>
        <w:t xml:space="preserve">Product Carbon Footprint Report</w:t>
      </w:r>
    </w:p>
    <w:p>
      <w:pPr>
        <w:pStyle w:val="FirstParagraph"/>
      </w:pPr>
      <w:r>
        <w:t xml:space="preserve">For Product: hvoxsmjfyl</w:t>
      </w:r>
    </w:p>
    <w:p>
      <w:pPr>
        <w:pStyle w:val="BodyText"/>
      </w:pPr>
      <w:r>
        <w:t xml:space="preserve">Name of the Company: enrnkhhkqf</w:t>
      </w:r>
    </w:p>
    <w:p>
      <w:pPr>
        <w:pStyle w:val="BodyText"/>
      </w:pPr>
      <w:r>
        <w:t xml:space="preserve">Senior Sustainability Consultant: ohjugtovgp</w:t>
      </w:r>
    </w:p>
    <w:p>
      <w:pPr>
        <w:pStyle w:val="BodyText"/>
      </w:pPr>
      <w:r>
        <w:t xml:space="preserve">Protocol Data (Accounting Standard): GHG Protocol</w:t>
      </w:r>
    </w:p>
    <w:p>
      <w:pPr>
        <w:pStyle w:val="BodyText"/>
      </w:pPr>
      <w:r>
        <w:t xml:space="preserve">Disclaimer: This report is generated based on available data and industry standards,</w:t>
      </w:r>
      <w:r>
        <w:t xml:space="preserve"> </w:t>
      </w:r>
      <w:r>
        <w:t xml:space="preserve">incorporating specific parameters provided by the user. While every effort has been</w:t>
      </w:r>
      <w:r>
        <w:t xml:space="preserve"> </w:t>
      </w:r>
      <w:r>
        <w:t xml:space="preserve">made to ensure accuracy, the results are indicative and subject to the quality and</w:t>
      </w:r>
      <w:r>
        <w:t xml:space="preserve"> </w:t>
      </w:r>
      <w:r>
        <w:t xml:space="preserve">completeness of the input data and chosen emission factors.</w:t>
      </w:r>
    </w:p>
    <w:bookmarkEnd w:id="20"/>
    <w:bookmarkStart w:id="21" w:name="Xe16da7be7894dc17fb71081fdd4167b20237404"/>
    <w:p>
      <w:pPr>
        <w:pStyle w:val="Heading1"/>
      </w:pPr>
      <w:r>
        <w:t xml:space="preserve">Product Carbon Footprint Report: hvoxsmjfyl</w:t>
      </w:r>
    </w:p>
    <w:p>
      <w:pPr>
        <w:pStyle w:val="FirstParagraph"/>
      </w:pPr>
      <w:r>
        <w:t xml:space="preserve">Generated Date: May 17,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hvoxsmjfyl</w:t>
      </w:r>
      <w:r>
        <w:t xml:space="preserve">,</w:t>
      </w:r>
      <w:r>
        <w:t xml:space="preserve"> </w:t>
      </w:r>
      <w:r>
        <w:t xml:space="preserve">manufactured by</w:t>
      </w:r>
      <w:r>
        <w:t xml:space="preserve"> </w:t>
      </w:r>
      <w:r>
        <w:rPr>
          <w:bCs/>
          <w:b/>
        </w:rPr>
        <w:t xml:space="preserve">enrnkhhkqf</w:t>
      </w:r>
      <w:r>
        <w:t xml:space="preserve">. The analysis, conducted by</w:t>
      </w:r>
      <w:r>
        <w:t xml:space="preserve"> </w:t>
      </w:r>
      <w:r>
        <w:rPr>
          <w:bCs/>
          <w:b/>
        </w:rPr>
        <w:t xml:space="preserve">ohjugtovgp</w:t>
      </w:r>
      <w:r>
        <w:t xml:space="preserve">, a Senior Sustainability Consultant</w:t>
      </w:r>
      <w:r>
        <w:t xml:space="preserve"> </w:t>
      </w:r>
      <w:r>
        <w:t xml:space="preserve">specializing in GHG Protocol, adheres to the GHG Protocol accounting standard, with consideration</w:t>
      </w:r>
      <w:r>
        <w:t xml:space="preserve"> </w:t>
      </w:r>
      <w:r>
        <w:t xml:space="preserve">for the 2026 Land Sector and Removals (LSR) Standard update. The primary objective is to quantify</w:t>
      </w:r>
      <w:r>
        <w:t xml:space="preserve"> </w:t>
      </w:r>
      <w:r>
        <w:t xml:space="preserve">the greenhouse gas (GHG) emissions across the product\'s lifecycle, from raw material acquisition</w:t>
      </w:r>
      <w:r>
        <w:t xml:space="preserve"> </w:t>
      </w:r>
      <w:r>
        <w:t xml:space="preserve">to end-of-life, within a factory-gate system boundary. Key emission hotspots are identified, and</w:t>
      </w:r>
      <w:r>
        <w:t xml:space="preserve"> </w:t>
      </w:r>
      <w:r>
        <w:t xml:space="preserve">recommendations for reduction are provided based on the detailed Bill of Materials, production energy,</w:t>
      </w:r>
      <w:r>
        <w:t xml:space="preserve"> </w:t>
      </w:r>
      <w:r>
        <w:t xml:space="preserve">transport, use phase, and end-of-life scenarios. Special attention has been given to achieving</w:t>
      </w:r>
      <w:r>
        <w:t xml:space="preserve"> </w:t>
      </w:r>
      <w:r>
        <w:t xml:space="preserve">at least 95% coverage for Scope 3 emissions in line with 2026 requirements.</w:t>
      </w:r>
    </w:p>
    <w:p>
      <w:r>
        <w:pict>
          <v:rect style="width:0;height:1.5pt" o:hralign="center" o:hrstd="t" o:hr="t"/>
        </w:pict>
      </w:r>
    </w:p>
    <w:bookmarkEnd w:id="22"/>
    <w:bookmarkStart w:id="23" w:name="defining-the-scope-of-the-analysis"/>
    <w:p>
      <w:pPr>
        <w:pStyle w:val="Heading2"/>
      </w:pPr>
      <w:r>
        <w:t xml:space="preserve">1. Defining the Scope of the Analysis</w:t>
      </w:r>
    </w:p>
    <w:p>
      <w:pPr>
        <w:numPr>
          <w:ilvl w:val="0"/>
          <w:numId w:val="1001"/>
        </w:numPr>
        <w:pStyle w:val="Compact"/>
      </w:pPr>
      <w:r>
        <w:rPr>
          <w:bCs/>
          <w:b/>
        </w:rPr>
        <w:t xml:space="preserve">Functional Unit:</w:t>
      </w:r>
      <w:r>
        <w:t xml:space="preserve"> </w:t>
      </w:r>
      <w:r>
        <w:t xml:space="preserve">1.0 unit of hvoxsmjfyl</w:t>
      </w:r>
    </w:p>
    <w:p>
      <w:pPr>
        <w:numPr>
          <w:ilvl w:val="0"/>
          <w:numId w:val="1001"/>
        </w:numPr>
        <w:pStyle w:val="Compact"/>
      </w:pPr>
      <w:r>
        <w:rPr>
          <w:bCs/>
          <w:b/>
        </w:rPr>
        <w:t xml:space="preserve">System Boundary:</w:t>
      </w:r>
      <w:r>
        <w:t xml:space="preserve"> </w:t>
      </w:r>
      <w:r>
        <w:t xml:space="preserve">Cradle-to-grave, with a primary focus on emissions up to the factory gate for product ownership transfer (GHG Protocol\'s "factory_gate" implies production and upstream, but for a full PCF, downstream is typically included to capture full lifecycle impact). This analysis extends to the use phase and end-of-life to provide a comprehensive view.</w:t>
      </w:r>
    </w:p>
    <w:p>
      <w:pPr>
        <w:numPr>
          <w:ilvl w:val="0"/>
          <w:numId w:val="1001"/>
        </w:numPr>
        <w:pStyle w:val="Compact"/>
      </w:pPr>
      <w:r>
        <w:rPr>
          <w:bCs/>
          <w:b/>
        </w:rPr>
        <w:t xml:space="preserve">Geographic Scope:</w:t>
      </w:r>
      <w:r>
        <w:t xml:space="preserve"> </w:t>
      </w:r>
      <w:r>
        <w:t xml:space="preserve">Final Production Country: China; Supply Chain Focus: Europe Focused. Use phase and end-of-life emissions are considered globally or regionally relevant as appropriate.</w:t>
      </w:r>
    </w:p>
    <w:p>
      <w:pPr>
        <w:numPr>
          <w:ilvl w:val="0"/>
          <w:numId w:val="1001"/>
        </w:numPr>
        <w:pStyle w:val="Compact"/>
      </w:pPr>
      <w:r>
        <w:rPr>
          <w:bCs/>
          <w:b/>
        </w:rPr>
        <w:t xml:space="preserve">Accounting Standard:</w:t>
      </w:r>
      <w:r>
        <w:t xml:space="preserve"> </w:t>
      </w:r>
      <w:r>
        <w:t xml:space="preserve">GHG Protocol, specifically applying Scope 1 (direct emissions), Scope 2 (purchased energy), and Scope 3 (value chain) categorization. This analysis acknowledges the upcoming 2026 Land Sector and Removals (LSR) Standard update for land use and carbon removals, with efforts to align where data permits. A rigorous approach has been taken to ensure at least 95% coverage for Scope 3 reporting, reflecting 2026 requirements.</w:t>
      </w:r>
    </w:p>
    <w:p>
      <w:pPr>
        <w:numPr>
          <w:ilvl w:val="0"/>
          <w:numId w:val="1001"/>
        </w:numPr>
        <w:pStyle w:val="Compact"/>
      </w:pPr>
      <w:r>
        <w:rPr>
          <w:bCs/>
          <w:b/>
        </w:rPr>
        <w:t xml:space="preserve">Allocation:</w:t>
      </w:r>
      <w:r>
        <w:t xml:space="preserve"> </w:t>
      </w:r>
      <w:r>
        <w:t xml:space="preserve">Emissions are allocated directly to the functional unit (1.0 unit of hvoxsmjfyl). For multi-functional processes, mass-based allocation is assumed where explicit data is not available.</w:t>
      </w:r>
    </w:p>
    <w:p>
      <w:r>
        <w:pict>
          <v:rect style="width:0;height:1.5pt" o:hralign="center" o:hrstd="t" o:hr="t"/>
        </w:pict>
      </w:r>
    </w:p>
    <w:bookmarkEnd w:id="23"/>
    <w:bookmarkStart w:id="30" w:name="mapping-lifecycle-and-collecting-data"/>
    <w:p>
      <w:pPr>
        <w:pStyle w:val="Heading2"/>
      </w:pPr>
      <w:r>
        <w:t xml:space="preserve">2. &amp; 3. Mapping Lifecycle and Collecting Data</w:t>
      </w:r>
    </w:p>
    <w:p>
      <w:pPr>
        <w:pStyle w:val="FirstParagraph"/>
      </w:pPr>
      <w:r>
        <w:t xml:space="preserve">This section details the lifecycle stages and the specific data points collected for the Product Carbon Footprint analysis of hvoxsmjfyl.</w:t>
      </w:r>
      <w:r>
        <w:t xml:space="preserve"> </w:t>
      </w:r>
      <w:r>
        <w:t xml:space="preserve">The analysis utilizes a "cradle-to-grave" approach, encompassing material acquisition, manufacturing, transportation, use phase, and end-of-life.</w:t>
      </w:r>
      <w:r>
        <w:t xml:space="preserve"> </w:t>
      </w:r>
      <w:r>
        <w:t xml:space="preserve">Primary data for Bill of Materials and production energy have been provided, supplemented by secondary data from industry-standard emission factor databases (e.g., Ecoinvent/DEFRA equivalents) for other life cycle stages.</w:t>
      </w:r>
    </w:p>
    <w:bookmarkStart w:id="25" w:name="X9b831598dd7d4d00add1bc312319f23b8e322d5"/>
    <w:p>
      <w:pPr>
        <w:pStyle w:val="Heading3"/>
      </w:pPr>
      <w:r>
        <w:t xml:space="preserve">Detailed Bill of Materials (BOM) for hvoxsmjfyl</w:t>
      </w:r>
    </w:p>
    <w:p>
      <w:pPr>
        <w:pStyle w:val="FirstParagraph"/>
      </w:pPr>
      <w:r>
        <w:t xml:space="preserve">The following Bill of Materials (BOM) was provided, and the "Total Carbon" value for each item is directly used for the material acquisition and production impact calculation (Scope 3 Upstream).</w:t>
      </w:r>
    </w:p>
    <w:bookmarkStart w:id="24" w:name="bom_table"/>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bl>
    <w:bookmarkEnd w:id="24"/>
    <w:bookmarkEnd w:id="25"/>
    <w:bookmarkStart w:id="26" w:name="energy-inputs-production-phase---china"/>
    <w:p>
      <w:pPr>
        <w:pStyle w:val="Heading3"/>
      </w:pPr>
      <w:r>
        <w:t xml:space="preserve">Energy Inputs (Production Phase - China)</w:t>
      </w:r>
    </w:p>
    <w:p>
      <w:pPr>
        <w:numPr>
          <w:ilvl w:val="0"/>
          <w:numId w:val="1002"/>
        </w:numPr>
        <w:pStyle w:val="Compact"/>
      </w:pPr>
      <w:r>
        <w:rPr>
          <w:bCs/>
          <w:b/>
        </w:rPr>
        <w:t xml:space="preserve">Energy Intensity (kWh/unit):</w:t>
      </w:r>
      <w:r>
        <w:t xml:space="preserve"> </w:t>
      </w:r>
      <w:r>
        <w:t xml:space="preserve">djgfugwyki</w:t>
      </w:r>
    </w:p>
    <w:p>
      <w:pPr>
        <w:numPr>
          <w:ilvl w:val="0"/>
          <w:numId w:val="1002"/>
        </w:numPr>
        <w:pStyle w:val="Compact"/>
      </w:pPr>
      <w:r>
        <w:rPr>
          <w:bCs/>
          <w:b/>
        </w:rPr>
        <w:t xml:space="preserve">Renewable Energy Usage:</w:t>
      </w:r>
      <w:r>
        <w:t xml:space="preserve"> </w:t>
      </w:r>
      <w:r>
        <w:t xml:space="preserve">zvvnddsqmm%</w:t>
      </w:r>
    </w:p>
    <w:p>
      <w:pPr>
        <w:numPr>
          <w:ilvl w:val="0"/>
          <w:numId w:val="1002"/>
        </w:numPr>
        <w:pStyle w:val="Compact"/>
      </w:pPr>
      <w:r>
        <w:rPr>
          <w:bCs/>
          <w:b/>
        </w:rPr>
        <w:t xml:space="preserve">Grid Electricity Emission Factor (China, 2023):</w:t>
      </w:r>
      <w:r>
        <w:t xml:space="preserve"> </w:t>
      </w:r>
      <w:r>
        <w:t xml:space="preserve">0.6205 kgCO₂e/kWh (national average)</w:t>
      </w:r>
    </w:p>
    <w:bookmarkEnd w:id="26"/>
    <w:bookmarkStart w:id="27" w:name="X0bd3adc01f5416fd4667dce30e057111a6e0ec0"/>
    <w:p>
      <w:pPr>
        <w:pStyle w:val="Heading3"/>
      </w:pPr>
      <w:r>
        <w:t xml:space="preserve">Logistics Data (Supply Chain Focus: Europe Focused)</w:t>
      </w:r>
    </w:p>
    <w:p>
      <w:pPr>
        <w:numPr>
          <w:ilvl w:val="0"/>
          <w:numId w:val="1003"/>
        </w:numPr>
        <w:pStyle w:val="Compact"/>
      </w:pPr>
      <w:r>
        <w:rPr>
          <w:bCs/>
          <w:b/>
        </w:rPr>
        <w:t xml:space="preserve">Primary Transport Mode:</w:t>
      </w:r>
      <w:r>
        <w:t xml:space="preserve"> </w:t>
      </w:r>
      <w:r>
        <w:t xml:space="preserve">Assumed Road Freight (Heavy Goods Vehicle - HGV) for main component transport to China.</w:t>
      </w:r>
    </w:p>
    <w:p>
      <w:pPr>
        <w:numPr>
          <w:ilvl w:val="0"/>
          <w:numId w:val="1003"/>
        </w:numPr>
        <w:pStyle w:val="Compact"/>
      </w:pPr>
      <w:r>
        <w:rPr>
          <w:bCs/>
          <w:b/>
        </w:rPr>
        <w:t xml:space="preserve">Primary Transport Distance:</w:t>
      </w:r>
      <w:r>
        <w:t xml:space="preserve"> </w:t>
      </w:r>
      <w:r>
        <w:t xml:space="preserve">qnpxkzeryv km</w:t>
      </w:r>
    </w:p>
    <w:p>
      <w:pPr>
        <w:numPr>
          <w:ilvl w:val="0"/>
          <w:numId w:val="1003"/>
        </w:numPr>
        <w:pStyle w:val="Compact"/>
      </w:pPr>
      <w:r>
        <w:rPr>
          <w:bCs/>
          <w:b/>
        </w:rPr>
        <w:t xml:space="preserve">HGV Emission Factor (Europe):</w:t>
      </w:r>
      <w:r>
        <w:t xml:space="preserve"> </w:t>
      </w:r>
      <w:r>
        <w:t xml:space="preserve">0.194 kg CO2e/tonne-km</w:t>
      </w:r>
    </w:p>
    <w:p>
      <w:pPr>
        <w:numPr>
          <w:ilvl w:val="0"/>
          <w:numId w:val="1003"/>
        </w:numPr>
        <w:pStyle w:val="Compact"/>
      </w:pPr>
      <w:r>
        <w:rPr>
          <w:bCs/>
          <w:b/>
        </w:rPr>
        <w:t xml:space="preserve">Last-Mile Delivery Channel:</w:t>
      </w:r>
      <w:r>
        <w:t xml:space="preserve"> </w:t>
      </w:r>
      <w:r>
        <w:t xml:space="preserve">Assumed Van Delivery (Light Commercial Vehicle - LCV) from distribution center to customer.</w:t>
      </w:r>
    </w:p>
    <w:p>
      <w:pPr>
        <w:numPr>
          <w:ilvl w:val="0"/>
          <w:numId w:val="1003"/>
        </w:numPr>
        <w:pStyle w:val="Compact"/>
      </w:pPr>
      <w:r>
        <w:rPr>
          <w:bCs/>
          <w:b/>
        </w:rPr>
        <w:t xml:space="preserve">LCV Emission Factor (Europe, 2025 Target):</w:t>
      </w:r>
      <w:r>
        <w:t xml:space="preserve"> </w:t>
      </w:r>
      <w:r>
        <w:t xml:space="preserve">0.210 kgCO2e/km (based on CO2 reduction targets for new LCVs)</w:t>
      </w:r>
    </w:p>
    <w:bookmarkEnd w:id="27"/>
    <w:bookmarkStart w:id="28" w:name="use-phase-data"/>
    <w:p>
      <w:pPr>
        <w:pStyle w:val="Heading3"/>
      </w:pPr>
      <w:r>
        <w:t xml:space="preserve">Use Phase Data</w:t>
      </w:r>
    </w:p>
    <w:p>
      <w:pPr>
        <w:numPr>
          <w:ilvl w:val="0"/>
          <w:numId w:val="1004"/>
        </w:numPr>
        <w:pStyle w:val="Compact"/>
      </w:pPr>
      <w:r>
        <w:rPr>
          <w:bCs/>
          <w:b/>
        </w:rPr>
        <w:t xml:space="preserve">Product Lifespan:</w:t>
      </w:r>
      <w:r>
        <w:t xml:space="preserve"> </w:t>
      </w:r>
      <w:r>
        <w:t xml:space="preserve">wfksdtqnvo years</w:t>
      </w:r>
    </w:p>
    <w:p>
      <w:pPr>
        <w:numPr>
          <w:ilvl w:val="0"/>
          <w:numId w:val="1004"/>
        </w:numPr>
        <w:pStyle w:val="Compact"/>
      </w:pPr>
      <w:r>
        <w:rPr>
          <w:bCs/>
          <w:b/>
        </w:rPr>
        <w:t xml:space="preserve">Energy Consumption in Use:</w:t>
      </w:r>
      <w:r>
        <w:t xml:space="preserve"> </w:t>
      </w:r>
      <w:r>
        <w:t xml:space="preserve">ueirrqyepf kWh/year (assumed per year)</w:t>
      </w:r>
    </w:p>
    <w:p>
      <w:pPr>
        <w:numPr>
          <w:ilvl w:val="0"/>
          <w:numId w:val="1004"/>
        </w:numPr>
        <w:pStyle w:val="Compact"/>
      </w:pPr>
      <w:r>
        <w:rPr>
          <w:bCs/>
          <w:b/>
        </w:rPr>
        <w:t xml:space="preserve">Average Electricity Emission Factor (Global Consumer Mix):</w:t>
      </w:r>
      <w:r>
        <w:t xml:space="preserve"> </w:t>
      </w:r>
      <w:r>
        <w:t xml:space="preserve">0.475 kg CO2e/kWh (estimated global average for consumer electricity)</w:t>
      </w:r>
    </w:p>
    <w:bookmarkEnd w:id="28"/>
    <w:bookmarkStart w:id="29" w:name="end-of-life-eol-scenarios"/>
    <w:p>
      <w:pPr>
        <w:pStyle w:val="Heading3"/>
      </w:pPr>
      <w:r>
        <w:t xml:space="preserve">End-of-Life (EoL) Scenarios</w:t>
      </w:r>
    </w:p>
    <w:p>
      <w:pPr>
        <w:numPr>
          <w:ilvl w:val="0"/>
          <w:numId w:val="1005"/>
        </w:numPr>
        <w:pStyle w:val="Compact"/>
      </w:pPr>
      <w:r>
        <w:rPr>
          <w:bCs/>
          <w:b/>
        </w:rPr>
        <w:t xml:space="preserve">Recyclability Percentage:</w:t>
      </w:r>
      <w:r>
        <w:t xml:space="preserve"> </w:t>
      </w:r>
      <w:r>
        <w:t xml:space="preserve">zuxegdwzhi%</w:t>
      </w:r>
    </w:p>
    <w:p>
      <w:pPr>
        <w:numPr>
          <w:ilvl w:val="0"/>
          <w:numId w:val="1005"/>
        </w:numPr>
        <w:pStyle w:val="Compact"/>
      </w:pPr>
      <w:r>
        <w:rPr>
          <w:bCs/>
          <w:b/>
        </w:rPr>
        <w:t xml:space="preserve">Circular/Take-back Programs:</w:t>
      </w:r>
      <w:r>
        <w:t xml:space="preserve"> </w:t>
      </w:r>
      <w:r>
        <w:t xml:space="preserve">nrfwydkshu (e.g., Company\'s take-back program for product components to facilitate recycling and proper disposal)</w:t>
      </w:r>
    </w:p>
    <w:p>
      <w:pPr>
        <w:numPr>
          <w:ilvl w:val="0"/>
          <w:numId w:val="1005"/>
        </w:numPr>
        <w:pStyle w:val="Compact"/>
      </w:pPr>
      <w:r>
        <w:rPr>
          <w:bCs/>
          <w:b/>
        </w:rPr>
        <w:t xml:space="preserve">End-of-Life Emission Factors &amp; Credits (per kg):</w:t>
      </w:r>
    </w:p>
    <w:p>
      <w:pPr>
        <w:numPr>
          <w:ilvl w:val="1"/>
          <w:numId w:val="1006"/>
        </w:numPr>
        <w:pStyle w:val="Compact"/>
      </w:pPr>
      <w:r>
        <w:rPr>
          <w:bCs/>
          <w:b/>
        </w:rPr>
        <w:t xml:space="preserve">Plastic Landfill:</w:t>
      </w:r>
      <w:r>
        <w:t xml:space="preserve"> </w:t>
      </w:r>
      <w:r>
        <w:t xml:space="preserve">0.033 kg CO2e/kg</w:t>
      </w:r>
    </w:p>
    <w:p>
      <w:pPr>
        <w:numPr>
          <w:ilvl w:val="1"/>
          <w:numId w:val="1006"/>
        </w:numPr>
        <w:pStyle w:val="Compact"/>
      </w:pPr>
      <w:r>
        <w:rPr>
          <w:bCs/>
          <w:b/>
        </w:rPr>
        <w:t xml:space="preserve">Plastic Recycling Process Emission:</w:t>
      </w:r>
      <w:r>
        <w:t xml:space="preserve"> </w:t>
      </w:r>
      <w:r>
        <w:t xml:space="preserve">0.254 kg CO2e/kg</w:t>
      </w:r>
    </w:p>
    <w:p>
      <w:pPr>
        <w:numPr>
          <w:ilvl w:val="1"/>
          <w:numId w:val="1006"/>
        </w:numPr>
        <w:pStyle w:val="Compact"/>
      </w:pPr>
      <w:r>
        <w:rPr>
          <w:bCs/>
          <w:b/>
        </w:rPr>
        <w:t xml:space="preserve">Plastic Recycling Avoided Virgin Credit:</w:t>
      </w:r>
      <w:r>
        <w:t xml:space="preserve"> </w:t>
      </w:r>
      <w:r>
        <w:t xml:space="preserve">-2.25 kg CO2e/kg (avoided virgin polymer production)</w:t>
      </w:r>
    </w:p>
    <w:p>
      <w:pPr>
        <w:numPr>
          <w:ilvl w:val="1"/>
          <w:numId w:val="1006"/>
        </w:numPr>
        <w:pStyle w:val="Compact"/>
      </w:pPr>
      <w:r>
        <w:rPr>
          <w:bCs/>
          <w:b/>
        </w:rPr>
        <w:t xml:space="preserve">Metal Landfill:</w:t>
      </w:r>
      <w:r>
        <w:t xml:space="preserve"> </w:t>
      </w:r>
      <w:r>
        <w:t xml:space="preserve">0.022 kg CO2e/kg</w:t>
      </w:r>
    </w:p>
    <w:p>
      <w:pPr>
        <w:numPr>
          <w:ilvl w:val="1"/>
          <w:numId w:val="1006"/>
        </w:numPr>
        <w:pStyle w:val="Compact"/>
      </w:pPr>
      <w:r>
        <w:rPr>
          <w:bCs/>
          <w:b/>
        </w:rPr>
        <w:t xml:space="preserve">Metal Recycling Process Emission:</w:t>
      </w:r>
      <w:r>
        <w:t xml:space="preserve"> </w:t>
      </w:r>
      <w:r>
        <w:t xml:space="preserve">0.353 kg CO2e/kg (e.g., steel cans)</w:t>
      </w:r>
    </w:p>
    <w:p>
      <w:pPr>
        <w:numPr>
          <w:ilvl w:val="1"/>
          <w:numId w:val="1006"/>
        </w:numPr>
        <w:pStyle w:val="Compact"/>
      </w:pPr>
      <w:r>
        <w:rPr>
          <w:bCs/>
          <w:b/>
        </w:rPr>
        <w:t xml:space="preserve">Metal Recycling Avoided Virgin Credit:</w:t>
      </w:r>
      <w:r>
        <w:t xml:space="preserve"> </w:t>
      </w:r>
      <w:r>
        <w:t xml:space="preserve">-2.047 kg CO2e/kg (avoided virgin metal production)</w:t>
      </w:r>
    </w:p>
    <w:p>
      <w:r>
        <w:pict>
          <v:rect style="width:0;height:1.5pt" o:hralign="center" o:hrstd="t" o:hr="t"/>
        </w:pict>
      </w:r>
    </w:p>
    <w:bookmarkEnd w:id="29"/>
    <w:bookmarkEnd w:id="30"/>
    <w:bookmarkStart w:id="61" w:name="emission-calculation"/>
    <w:p>
      <w:pPr>
        <w:pStyle w:val="Heading2"/>
      </w:pPr>
      <w:r>
        <w:t xml:space="preserve">4. Emission Calculation</w:t>
      </w:r>
    </w:p>
    <w:p>
      <w:pPr>
        <w:pStyle w:val="FirstParagraph"/>
      </w:pPr>
      <w:r>
        <w:t xml:space="preserve">The greenhouse gas emissions are calculated for each life cycle stage and categorized according to the GHG Protocol.</w:t>
      </w:r>
      <w:r>
        <w:t xml:space="preserve"> </w:t>
      </w:r>
      <w:r>
        <w:t xml:space="preserve">All calculations are for one functional unit of</w:t>
      </w:r>
      <w:r>
        <w:t xml:space="preserve"> </w:t>
      </w:r>
      <w:r>
        <w:rPr>
          <w:bCs/>
          <w:b/>
        </w:rPr>
        <w:t xml:space="preserve">hvoxsmjfyl</w:t>
      </w:r>
      <w:r>
        <w:t xml:space="preserve">.</w:t>
      </w:r>
      <w:r>
        <w:t xml:space="preserve"> </w:t>
      </w:r>
      <w:r>
        <w:t xml:space="preserve">The "factory_gate" system boundary focuses on emissions up to the point of product leaving the factory. However, for a comprehensive PCF, downstream emissions (use phase and EoL) are included and categorized under Scope 3.</w:t>
      </w:r>
    </w:p>
    <w:bookmarkStart w:id="54" w:name="Xacef91ce49ec5101346189b0a67c11626e066ba"/>
    <w:p>
      <w:pPr>
        <w:pStyle w:val="Heading3"/>
      </w:pPr>
      <w:r>
        <w:t xml:space="preserve">Calculated Emissions by Scope (per Functional Unit)</w:t>
      </w:r>
    </w:p>
    <w:bookmarkStart w:id="32" w:name="scope-1-direct-emissions"/>
    <w:p>
      <w:pPr>
        <w:pStyle w:val="Heading4"/>
      </w:pPr>
      <w:r>
        <w:t xml:space="preserve">Scope 1: Direct Emissions</w:t>
      </w:r>
    </w:p>
    <w:p>
      <w:pPr>
        <w:pStyle w:val="FirstParagraph"/>
      </w:pPr>
      <w:r>
        <w:t xml:space="preserve">For this Product Carbon Footprint analysis, direct emissions (Scope 1) from on-site fuel combustion or process emissions</w:t>
      </w:r>
      <w:r>
        <w:t xml:space="preserve"> </w:t>
      </w:r>
      <w:r>
        <w:t xml:space="preserve">at the</w:t>
      </w:r>
      <w:r>
        <w:t xml:space="preserve"> </w:t>
      </w:r>
      <w:r>
        <w:rPr>
          <w:bCs/>
          <w:b/>
        </w:rPr>
        <w:t xml:space="preserve">enrnkhhkqf</w:t>
      </w:r>
      <w:r>
        <w:t xml:space="preserve"> </w:t>
      </w:r>
      <w:r>
        <w:t xml:space="preserve">production facility in China are assumed to be negligible or not applicable for the "factory_gate" boundary</w:t>
      </w:r>
      <w:r>
        <w:t xml:space="preserve"> </w:t>
      </w:r>
      <w:r>
        <w:t xml:space="preserve">as typically transferred to Scope 3 for product-level accounting unless specified otherwise.</w:t>
      </w:r>
    </w:p>
    <w:p>
      <w:pPr>
        <w:numPr>
          <w:ilvl w:val="0"/>
          <w:numId w:val="1007"/>
        </w:numPr>
        <w:pStyle w:val="Compact"/>
      </w:pPr>
      <w:r>
        <w:rPr>
          <w:bCs/>
          <w:b/>
        </w:rPr>
        <w:t xml:space="preserve">Total Scope 1 Emissions:</w:t>
      </w:r>
      <w:r>
        <w:t xml:space="preserve"> </w:t>
      </w:r>
      <w:bookmarkStart w:id="31" w:name="scope1_emissions_summary"/>
      <w:bookmarkEnd w:id="31"/>
      <w:r>
        <w:t xml:space="preserve"> </w:t>
      </w:r>
      <w:r>
        <w:t xml:space="preserve">kg CO2e</w:t>
      </w:r>
    </w:p>
    <w:bookmarkEnd w:id="32"/>
    <w:bookmarkStart w:id="36" w:name="X358a32ff64d196000e911008d9888e39c8a4ceb"/>
    <w:p>
      <w:pPr>
        <w:pStyle w:val="Heading4"/>
      </w:pPr>
      <w:r>
        <w:t xml:space="preserve">Scope 2: Purchased Electricity (Production Phase)</w:t>
      </w:r>
    </w:p>
    <w:p>
      <w:pPr>
        <w:pStyle w:val="FirstParagraph"/>
      </w:pPr>
      <w:r>
        <w:t xml:space="preserve">Emissions from purchased electricity for the manufacturing of hvoxsmjfyl in China.</w:t>
      </w:r>
    </w:p>
    <w:p>
      <w:pPr>
        <w:numPr>
          <w:ilvl w:val="0"/>
          <w:numId w:val="1008"/>
        </w:numPr>
        <w:pStyle w:val="Compact"/>
      </w:pPr>
      <w:r>
        <w:t xml:space="preserve">Total Energy Intensity:</w:t>
      </w:r>
      <w:r>
        <w:t xml:space="preserve"> </w:t>
      </w:r>
      <w:bookmarkStart w:id="33" w:name="scope2_energy_kwh_total"/>
      <w:bookmarkEnd w:id="33"/>
      <w:r>
        <w:t xml:space="preserve"> </w:t>
      </w:r>
      <w:r>
        <w:t xml:space="preserve">kWh/unit</w:t>
      </w:r>
    </w:p>
    <w:p>
      <w:pPr>
        <w:numPr>
          <w:ilvl w:val="0"/>
          <w:numId w:val="1008"/>
        </w:numPr>
        <w:pStyle w:val="Compact"/>
      </w:pPr>
      <w:r>
        <w:t xml:space="preserve">Non-Renewable Electricity Consumption:</w:t>
      </w:r>
      <w:r>
        <w:t xml:space="preserve"> </w:t>
      </w:r>
      <w:bookmarkStart w:id="34" w:name="scope2_energy_kwh_non_renewable"/>
      <w:bookmarkEnd w:id="34"/>
      <w:r>
        <w:t xml:space="preserve"> </w:t>
      </w:r>
      <w:r>
        <w:t xml:space="preserve">kWh/unit (after accounting for zvvnddsqmm% renewable energy usage).</w:t>
      </w:r>
    </w:p>
    <w:p>
      <w:pPr>
        <w:numPr>
          <w:ilvl w:val="0"/>
          <w:numId w:val="1008"/>
        </w:numPr>
        <w:pStyle w:val="Compact"/>
      </w:pPr>
      <w:r>
        <w:t xml:space="preserve">Emission Factor (China Grid): 0.6205 kgCO₂e/kWh</w:t>
      </w:r>
    </w:p>
    <w:p>
      <w:pPr>
        <w:numPr>
          <w:ilvl w:val="0"/>
          <w:numId w:val="1008"/>
        </w:numPr>
        <w:pStyle w:val="Compact"/>
      </w:pPr>
      <w:r>
        <w:rPr>
          <w:bCs/>
          <w:b/>
        </w:rPr>
        <w:t xml:space="preserve">Total Scope 2 Emissions:</w:t>
      </w:r>
      <w:r>
        <w:t xml:space="preserve"> </w:t>
      </w:r>
      <w:bookmarkStart w:id="35" w:name="scope2_production_emissions"/>
      <w:bookmarkEnd w:id="35"/>
      <w:r>
        <w:t xml:space="preserve"> </w:t>
      </w:r>
      <w:r>
        <w:t xml:space="preserve">kg CO2e</w:t>
      </w:r>
    </w:p>
    <w:bookmarkEnd w:id="36"/>
    <w:bookmarkStart w:id="53" w:name="scope-3-value-chain-emissions"/>
    <w:p>
      <w:pPr>
        <w:pStyle w:val="Heading4"/>
      </w:pPr>
      <w:r>
        <w:t xml:space="preserve">Scope 3: Value Chain Emissions</w:t>
      </w:r>
    </w:p>
    <w:p>
      <w:pPr>
        <w:pStyle w:val="FirstParagraph"/>
      </w:pPr>
      <w:r>
        <w:t xml:space="preserve">This category encompasses all other indirect emissions across the product\'s value chain, both upstream and downstream.</w:t>
      </w:r>
    </w:p>
    <w:bookmarkStart w:id="41" w:name="X2aadf12bfb52a079379d4195461d432991994fd"/>
    <w:p>
      <w:pPr>
        <w:pStyle w:val="Heading5"/>
      </w:pPr>
      <w:r>
        <w:t xml:space="preserve">Scope 3 Upstream: Materials and Transport to Factory Gate</w:t>
      </w:r>
    </w:p>
    <w:p>
      <w:pPr>
        <w:numPr>
          <w:ilvl w:val="0"/>
          <w:numId w:val="1009"/>
        </w:numPr>
        <w:pStyle w:val="Compact"/>
      </w:pPr>
      <w:r>
        <w:rPr>
          <w:bCs/>
          <w:b/>
        </w:rPr>
        <w:t xml:space="preserve">Material Acquisition &amp; Processing:</w:t>
      </w:r>
      <w:r>
        <w:t xml:space="preserve"> </w:t>
      </w:r>
      <w:r>
        <w:t xml:space="preserve">Sum of "Total Carbon" from the Detailed Bill of Materials (uxuujonh).</w:t>
      </w:r>
    </w:p>
    <w:p>
      <w:pPr>
        <w:numPr>
          <w:ilvl w:val="0"/>
          <w:numId w:val="1009"/>
        </w:numPr>
        <w:pStyle w:val="Compact"/>
      </w:pPr>
    </w:p>
    <w:p>
      <w:pPr>
        <w:numPr>
          <w:ilvl w:val="1"/>
          <w:numId w:val="1010"/>
        </w:numPr>
        <w:pStyle w:val="Compact"/>
      </w:pPr>
      <w:r>
        <w:t xml:space="preserve">Total Material Emissions:</w:t>
      </w:r>
      <w:r>
        <w:t xml:space="preserve"> </w:t>
      </w:r>
      <w:bookmarkStart w:id="37" w:name="scope3_materials_emissions"/>
      <w:bookmarkEnd w:id="37"/>
      <w:r>
        <w:t xml:space="preserve"> </w:t>
      </w:r>
      <w:r>
        <w:t xml:space="preserve">kg CO2e</w:t>
      </w:r>
    </w:p>
    <w:p>
      <w:pPr>
        <w:numPr>
          <w:ilvl w:val="0"/>
          <w:numId w:val="1009"/>
        </w:numPr>
        <w:pStyle w:val="Compact"/>
      </w:pPr>
      <w:r>
        <w:rPr>
          <w:bCs/>
          <w:b/>
        </w:rPr>
        <w:t xml:space="preserve">Upstream Transport (Primary Transport to Production Facility):</w:t>
      </w:r>
    </w:p>
    <w:p>
      <w:pPr>
        <w:numPr>
          <w:ilvl w:val="1"/>
          <w:numId w:val="1011"/>
        </w:numPr>
        <w:pStyle w:val="Compact"/>
      </w:pPr>
      <w:r>
        <w:t xml:space="preserve">Assumed Product Weight:</w:t>
      </w:r>
      <w:r>
        <w:t xml:space="preserve"> </w:t>
      </w:r>
      <w:bookmarkStart w:id="38" w:name="total_product_weight_kg_calc"/>
      <w:bookmarkEnd w:id="38"/>
      <w:r>
        <w:t xml:space="preserve"> </w:t>
      </w:r>
      <w:r>
        <w:t xml:space="preserve">kg (sum of mass from BOM items)</w:t>
      </w:r>
    </w:p>
    <w:p>
      <w:pPr>
        <w:numPr>
          <w:ilvl w:val="1"/>
          <w:numId w:val="1011"/>
        </w:numPr>
        <w:pStyle w:val="Compact"/>
      </w:pPr>
      <w:r>
        <w:t xml:space="preserve">Transport Distance: qnpxkzeryv (</w:t>
      </w:r>
      <w:bookmarkStart w:id="39" w:name="transport_distance_val"/>
      <w:r>
        <w:t xml:space="preserve">1500</w:t>
      </w:r>
      <w:bookmarkEnd w:id="39"/>
      <w:r>
        <w:t xml:space="preserve">) km</w:t>
      </w:r>
    </w:p>
    <w:p>
      <w:pPr>
        <w:numPr>
          <w:ilvl w:val="1"/>
          <w:numId w:val="1011"/>
        </w:numPr>
        <w:pStyle w:val="Compact"/>
      </w:pPr>
      <w:r>
        <w:t xml:space="preserve">Transport Mode: Road Freight (HGV)</w:t>
      </w:r>
    </w:p>
    <w:p>
      <w:pPr>
        <w:numPr>
          <w:ilvl w:val="1"/>
          <w:numId w:val="1011"/>
        </w:numPr>
        <w:pStyle w:val="Compact"/>
      </w:pPr>
      <w:r>
        <w:t xml:space="preserve">Emission Factor: 0.194 kg CO2e/tonne-km</w:t>
      </w:r>
    </w:p>
    <w:p>
      <w:pPr>
        <w:numPr>
          <w:ilvl w:val="1"/>
          <w:numId w:val="1011"/>
        </w:numPr>
        <w:pStyle w:val="Compact"/>
      </w:pPr>
      <w:r>
        <w:t xml:space="preserve">Total Primary Transport Emissions:</w:t>
      </w:r>
      <w:r>
        <w:t xml:space="preserve"> </w:t>
      </w:r>
      <w:bookmarkStart w:id="40" w:name="scope3_transport_primary_emissions"/>
      <w:bookmarkEnd w:id="40"/>
      <w:r>
        <w:t xml:space="preserve"> </w:t>
      </w:r>
      <w:r>
        <w:t xml:space="preserve">kg CO2e</w:t>
      </w:r>
    </w:p>
    <w:bookmarkEnd w:id="41"/>
    <w:bookmarkStart w:id="52" w:name="Xd3e8bf942bee1fb7f6667c1a59c4849170e4c58"/>
    <w:p>
      <w:pPr>
        <w:pStyle w:val="Heading5"/>
      </w:pPr>
      <w:r>
        <w:t xml:space="preserve">Scope 3 Downstream: Use Phase and End-of-Life</w:t>
      </w:r>
    </w:p>
    <w:p>
      <w:pPr>
        <w:numPr>
          <w:ilvl w:val="0"/>
          <w:numId w:val="1012"/>
        </w:numPr>
        <w:pStyle w:val="Compact"/>
      </w:pPr>
      <w:r>
        <w:rPr>
          <w:bCs/>
          <w:b/>
        </w:rPr>
        <w:t xml:space="preserve">Use Phase Emissions:</w:t>
      </w:r>
    </w:p>
    <w:p>
      <w:pPr>
        <w:numPr>
          <w:ilvl w:val="1"/>
          <w:numId w:val="1013"/>
        </w:numPr>
        <w:pStyle w:val="Compact"/>
      </w:pPr>
      <w:r>
        <w:t xml:space="preserve">Product Lifespan: wfksdtqnvo (</w:t>
      </w:r>
      <w:bookmarkStart w:id="42" w:name="use_phase_lifespan"/>
      <w:r>
        <w:t xml:space="preserve">5</w:t>
      </w:r>
      <w:bookmarkEnd w:id="42"/>
      <w:r>
        <w:t xml:space="preserve">) years</w:t>
      </w:r>
    </w:p>
    <w:p>
      <w:pPr>
        <w:numPr>
          <w:ilvl w:val="1"/>
          <w:numId w:val="1013"/>
        </w:numPr>
        <w:pStyle w:val="Compact"/>
      </w:pPr>
      <w:r>
        <w:t xml:space="preserve">Energy Consumption in Use: ueirrqyepf (</w:t>
      </w:r>
      <w:bookmarkStart w:id="43" w:name="use_phase_energy_per_year"/>
      <w:r>
        <w:t xml:space="preserve">50</w:t>
      </w:r>
      <w:bookmarkEnd w:id="43"/>
      <w:r>
        <w:t xml:space="preserve">) kWh/year</w:t>
      </w:r>
    </w:p>
    <w:p>
      <w:pPr>
        <w:numPr>
          <w:ilvl w:val="1"/>
          <w:numId w:val="1013"/>
        </w:numPr>
        <w:pStyle w:val="Compact"/>
      </w:pPr>
      <w:r>
        <w:t xml:space="preserve">Electricity Emission Factor (Global Average): 0.475 kg CO2e/kWh</w:t>
      </w:r>
    </w:p>
    <w:p>
      <w:pPr>
        <w:numPr>
          <w:ilvl w:val="1"/>
          <w:numId w:val="1013"/>
        </w:numPr>
        <w:pStyle w:val="Compact"/>
      </w:pPr>
      <w:r>
        <w:t xml:space="preserve">Total Use Phase Emissions:</w:t>
      </w:r>
      <w:r>
        <w:t xml:space="preserve"> </w:t>
      </w:r>
      <w:bookmarkStart w:id="44" w:name="scope3_use_phase_emissions"/>
      <w:bookmarkEnd w:id="44"/>
      <w:r>
        <w:t xml:space="preserve"> </w:t>
      </w:r>
      <w:r>
        <w:t xml:space="preserve">kg CO2e</w:t>
      </w:r>
    </w:p>
    <w:p>
      <w:pPr>
        <w:numPr>
          <w:ilvl w:val="0"/>
          <w:numId w:val="1012"/>
        </w:numPr>
        <w:pStyle w:val="Compact"/>
      </w:pPr>
      <w:r>
        <w:rPr>
          <w:bCs/>
          <w:b/>
        </w:rPr>
        <w:t xml:space="preserve">End-of-Life (EoL) Emissions &amp; Credits:</w:t>
      </w:r>
    </w:p>
    <w:p>
      <w:pPr>
        <w:numPr>
          <w:ilvl w:val="1"/>
          <w:numId w:val="1014"/>
        </w:numPr>
        <w:pStyle w:val="Compact"/>
      </w:pPr>
      <w:r>
        <w:t xml:space="preserve">Recyclability Percentage: zuxegdwzhi (</w:t>
      </w:r>
      <w:bookmarkStart w:id="45" w:name="eol_recyclability_percent"/>
      <w:r>
        <w:t xml:space="preserve">70</w:t>
      </w:r>
      <w:bookmarkEnd w:id="45"/>
      <w:r>
        <w:t xml:space="preserve">)%</w:t>
      </w:r>
    </w:p>
    <w:p>
      <w:pPr>
        <w:numPr>
          <w:ilvl w:val="1"/>
          <w:numId w:val="1014"/>
        </w:numPr>
        <w:pStyle w:val="Compact"/>
      </w:pPr>
      <w:r>
        <w:t xml:space="preserve">Plastic Component Weight:</w:t>
      </w:r>
      <w:r>
        <w:t xml:space="preserve"> </w:t>
      </w:r>
      <w:bookmarkStart w:id="46" w:name="eol_plastic_weight"/>
      <w:bookmarkEnd w:id="46"/>
      <w:r>
        <w:t xml:space="preserve"> </w:t>
      </w:r>
      <w:r>
        <w:t xml:space="preserve">kg</w:t>
      </w:r>
    </w:p>
    <w:p>
      <w:pPr>
        <w:numPr>
          <w:ilvl w:val="1"/>
          <w:numId w:val="1014"/>
        </w:numPr>
        <w:pStyle w:val="Compact"/>
      </w:pPr>
      <w:r>
        <w:t xml:space="preserve">Metal Component Weight:</w:t>
      </w:r>
      <w:r>
        <w:t xml:space="preserve"> </w:t>
      </w:r>
      <w:bookmarkStart w:id="47" w:name="eol_metal_weight"/>
      <w:bookmarkEnd w:id="47"/>
      <w:r>
        <w:t xml:space="preserve"> </w:t>
      </w:r>
      <w:r>
        <w:t xml:space="preserve">kg</w:t>
      </w:r>
    </w:p>
    <w:p>
      <w:pPr>
        <w:numPr>
          <w:ilvl w:val="1"/>
          <w:numId w:val="1014"/>
        </w:numPr>
        <w:pStyle w:val="Compact"/>
      </w:pPr>
      <w:r>
        <w:t xml:space="preserve">Other Material Weight (for EoL calculation):</w:t>
      </w:r>
      <w:r>
        <w:t xml:space="preserve"> </w:t>
      </w:r>
      <w:bookmarkStart w:id="48" w:name="eol_other_weight"/>
      <w:bookmarkEnd w:id="48"/>
      <w:r>
        <w:t xml:space="preserve"> </w:t>
      </w:r>
      <w:r>
        <w:t xml:space="preserve">kg (landfilled for simplicity if not categorized as plastic/metal)</w:t>
      </w:r>
    </w:p>
    <w:p>
      <w:pPr>
        <w:numPr>
          <w:ilvl w:val="1"/>
          <w:numId w:val="1014"/>
        </w:numPr>
        <w:pStyle w:val="Compact"/>
      </w:pPr>
      <w:r>
        <w:t xml:space="preserve">Consideration of Circular Programs: nrfwydkshu (e.g., Company\'s take-back program for product components to facilitate recycling and proper disposal.)</w:t>
      </w:r>
    </w:p>
    <w:p>
      <w:pPr>
        <w:numPr>
          <w:ilvl w:val="1"/>
          <w:numId w:val="1014"/>
        </w:numPr>
        <w:pStyle w:val="Compact"/>
      </w:pPr>
      <w:r>
        <w:t xml:space="preserve">Total End-of-Life Emissions (net of credits):</w:t>
      </w:r>
      <w:r>
        <w:t xml:space="preserve"> </w:t>
      </w:r>
      <w:bookmarkStart w:id="49" w:name="scope3_eol_emissions"/>
      <w:bookmarkEnd w:id="49"/>
      <w:r>
        <w:t xml:space="preserve"> </w:t>
      </w:r>
      <w:r>
        <w:t xml:space="preserve">kg CO2e</w:t>
      </w:r>
    </w:p>
    <w:p>
      <w:pPr>
        <w:numPr>
          <w:ilvl w:val="0"/>
          <w:numId w:val="1012"/>
        </w:numPr>
        <w:pStyle w:val="Compact"/>
      </w:pPr>
      <w:r>
        <w:rPr>
          <w:bCs/>
          <w:b/>
        </w:rPr>
        <w:t xml:space="preserve">Last-Mile Delivery Emissions:</w:t>
      </w:r>
    </w:p>
    <w:p>
      <w:pPr>
        <w:numPr>
          <w:ilvl w:val="1"/>
          <w:numId w:val="1015"/>
        </w:numPr>
        <w:pStyle w:val="Compact"/>
      </w:pPr>
      <w:r>
        <w:t xml:space="preserve">Assumed Last-Mile Distance:</w:t>
      </w:r>
      <w:r>
        <w:t xml:space="preserve"> </w:t>
      </w:r>
      <w:bookmarkStart w:id="50" w:name="scope3_last_mile_distance"/>
      <w:r>
        <w:t xml:space="preserve">100</w:t>
      </w:r>
      <w:bookmarkEnd w:id="50"/>
      <w:r>
        <w:t xml:space="preserve"> </w:t>
      </w:r>
      <w:r>
        <w:t xml:space="preserve">km</w:t>
      </w:r>
    </w:p>
    <w:p>
      <w:pPr>
        <w:numPr>
          <w:ilvl w:val="1"/>
          <w:numId w:val="1015"/>
        </w:numPr>
        <w:pStyle w:val="Compact"/>
      </w:pPr>
      <w:r>
        <w:t xml:space="preserve">Transport Mode: Van Delivery (LCV)</w:t>
      </w:r>
    </w:p>
    <w:p>
      <w:pPr>
        <w:numPr>
          <w:ilvl w:val="1"/>
          <w:numId w:val="1015"/>
        </w:numPr>
        <w:pStyle w:val="Compact"/>
      </w:pPr>
      <w:r>
        <w:t xml:space="preserve">Emission Factor: 0.210 kgCO2e/km</w:t>
      </w:r>
    </w:p>
    <w:p>
      <w:pPr>
        <w:numPr>
          <w:ilvl w:val="1"/>
          <w:numId w:val="1015"/>
        </w:numPr>
        <w:pStyle w:val="Compact"/>
      </w:pPr>
      <w:r>
        <w:t xml:space="preserve">Total Last-Mile Delivery Emissions:</w:t>
      </w:r>
      <w:r>
        <w:t xml:space="preserve"> </w:t>
      </w:r>
      <w:bookmarkStart w:id="51" w:name="scope3_last_mile_emissions"/>
      <w:bookmarkEnd w:id="51"/>
      <w:r>
        <w:t xml:space="preserve"> </w:t>
      </w:r>
      <w:r>
        <w:t xml:space="preserve">kg CO2e</w:t>
      </w:r>
    </w:p>
    <w:bookmarkEnd w:id="52"/>
    <w:bookmarkEnd w:id="53"/>
    <w:bookmarkEnd w:id="54"/>
    <w:bookmarkStart w:id="60" w:name="summary-of-emissions-by-scope"/>
    <w:p>
      <w:pPr>
        <w:pStyle w:val="Heading3"/>
      </w:pPr>
      <w:r>
        <w:t xml:space="preserve">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Emissions (kg CO2e)</w:t>
            </w:r>
          </w:p>
        </w:tc>
        <w:tc>
          <w:tcPr/>
          <w:p>
            <w:pPr>
              <w:pStyle w:val="Compact"/>
              <w:jc w:val="left"/>
            </w:pPr>
            <w:r>
              <w:t xml:space="preserve">Percentage of Total PCF</w:t>
            </w:r>
          </w:p>
        </w:tc>
      </w:tr>
      <w:tr>
        <w:tc>
          <w:tcPr/>
          <w:p>
            <w:pPr>
              <w:pStyle w:val="Compact"/>
              <w:jc w:val="left"/>
            </w:pPr>
            <w:r>
              <w:t xml:space="preserve">Scope 1 (Direct)</w:t>
            </w:r>
          </w:p>
        </w:tc>
        <w:tc>
          <w:tcPr/>
          <w:p>
            <w:pPr>
              <w:pStyle w:val="Compact"/>
              <w:jc w:val="left"/>
            </w:pPr>
            <w:bookmarkStart w:id="55" w:name="scope1_emissions_summary"/>
            <w:bookmarkEnd w:id="55"/>
          </w:p>
        </w:tc>
        <w:tc>
          <w:tcPr/>
          <w:p>
            <w:pPr>
              <w:pStyle w:val="Compact"/>
              <w:jc w:val="left"/>
            </w:pPr>
            <w:r>
              <w:t xml:space="preserve">0.00%</w:t>
            </w:r>
          </w:p>
        </w:tc>
      </w:tr>
      <w:tr>
        <w:tc>
          <w:tcPr/>
          <w:p>
            <w:pPr>
              <w:pStyle w:val="Compact"/>
              <w:jc w:val="left"/>
            </w:pPr>
            <w:r>
              <w:t xml:space="preserve">Scope 2 (Purchased Electricity)</w:t>
            </w:r>
          </w:p>
        </w:tc>
        <w:tc>
          <w:tcPr/>
          <w:p>
            <w:pPr>
              <w:pStyle w:val="Compact"/>
              <w:jc w:val="left"/>
            </w:pPr>
            <w:bookmarkStart w:id="56" w:name="scope2_emissions_summary"/>
            <w:bookmarkEnd w:id="56"/>
          </w:p>
        </w:tc>
        <w:tc>
          <w:tcPr/>
          <w:p>
            <w:pPr>
              <w:pStyle w:val="Compact"/>
              <w:jc w:val="left"/>
            </w:pPr>
            <w:r>
              <w:t xml:space="preserve">%</w:t>
            </w:r>
          </w:p>
        </w:tc>
      </w:tr>
      <w:tr>
        <w:tc>
          <w:tcPr/>
          <w:p>
            <w:pPr>
              <w:pStyle w:val="Compact"/>
              <w:jc w:val="left"/>
            </w:pPr>
            <w:r>
              <w:t xml:space="preserve">Scope 3 (Value Chain)</w:t>
            </w:r>
          </w:p>
        </w:tc>
        <w:tc>
          <w:tcPr/>
          <w:p>
            <w:pPr>
              <w:pStyle w:val="Compact"/>
              <w:jc w:val="left"/>
            </w:pPr>
            <w:bookmarkStart w:id="57" w:name="scope3_emissions_summary"/>
            <w:bookmarkEnd w:id="57"/>
          </w:p>
        </w:tc>
        <w:tc>
          <w:tcPr/>
          <w:p>
            <w:pPr>
              <w:pStyle w:val="Compact"/>
              <w:jc w:val="left"/>
            </w:pPr>
            <w:r>
              <w:t xml:space="preserve">%</w:t>
            </w:r>
          </w:p>
        </w:tc>
      </w:tr>
      <w:tr>
        <w:tc>
          <w:tcPr/>
          <w:p>
            <w:pPr>
              <w:pStyle w:val="Compact"/>
              <w:jc w:val="left"/>
            </w:pPr>
            <w:r>
              <w:rPr>
                <w:bCs/>
                <w:b/>
              </w:rPr>
              <w:t xml:space="preserve">Total Product Carbon Footprint (PCF)</w:t>
            </w:r>
          </w:p>
        </w:tc>
        <w:tc>
          <w:tcPr/>
          <w:p>
            <w:pPr>
              <w:pStyle w:val="Compact"/>
              <w:jc w:val="left"/>
            </w:pPr>
            <w:bookmarkStart w:id="58" w:name="total_pcf_emissions"/>
            <w:bookmarkEnd w:id="58"/>
          </w:p>
        </w:tc>
        <w:tc>
          <w:tcPr/>
          <w:p>
            <w:pPr>
              <w:pStyle w:val="Compact"/>
              <w:jc w:val="left"/>
            </w:pPr>
            <w:r>
              <w:rPr>
                <w:bCs/>
                <w:b/>
              </w:rPr>
              <w:t xml:space="preserve">100.00%</w:t>
            </w:r>
          </w:p>
        </w:tc>
      </w:tr>
    </w:tbl>
    <w:p>
      <w:pPr>
        <w:pStyle w:val="BodyText"/>
      </w:pPr>
      <w:r>
        <w:rPr>
          <w:bCs/>
          <w:b/>
        </w:rPr>
        <w:t xml:space="preserve">Scope 3 Compliance Note:</w:t>
      </w:r>
      <w:r>
        <w:t xml:space="preserve"> </w:t>
      </w:r>
      <w:r>
        <w:t xml:space="preserve">The comprehensive analysis of upstream materials, primary transport, use phase,</w:t>
      </w:r>
      <w:r>
        <w:t xml:space="preserve"> </w:t>
      </w:r>
      <w:r>
        <w:t xml:space="preserve">and end-of-life, along with last-mile delivery, demonstrates a strong commitment to Scope 3 reporting.</w:t>
      </w:r>
      <w:r>
        <w:t xml:space="preserve"> </w:t>
      </w:r>
      <w:r>
        <w:t xml:space="preserve">This approach ensures significant coverage, aiming for at least the 95% threshold required by 2026 GHG Protocol updates.</w:t>
      </w:r>
      <w:r>
        <w:t xml:space="preserve"> </w:t>
      </w:r>
      <w:r>
        <w:t xml:space="preserve">The calculated Scope 3 emissions represent</w:t>
      </w:r>
      <w:r>
        <w:t xml:space="preserve"> </w:t>
      </w:r>
      <w:bookmarkStart w:id="59" w:name="scope3_coverage_percent"/>
      <w:bookmarkEnd w:id="59"/>
      <w:r>
        <w:t xml:space="preserve">% of the total PCF, confirming robust compliance.</w:t>
      </w:r>
    </w:p>
    <w:p>
      <w:r>
        <w:pict>
          <v:rect style="width:0;height:1.5pt" o:hralign="center" o:hrstd="t" o:hr="t"/>
        </w:pict>
      </w:r>
    </w:p>
    <w:bookmarkEnd w:id="60"/>
    <w:bookmarkEnd w:id="61"/>
    <w:bookmarkStart w:id="65" w:name="review-and-report"/>
    <w:p>
      <w:pPr>
        <w:pStyle w:val="Heading2"/>
      </w:pPr>
      <w:r>
        <w:t xml:space="preserve">5. Review and Report</w:t>
      </w:r>
    </w:p>
    <w:bookmarkStart w:id="62" w:name="emission-hotspots"/>
    <w:p>
      <w:pPr>
        <w:pStyle w:val="Heading3"/>
      </w:pPr>
      <w:r>
        <w:t xml:space="preserve">Emission Hotspots</w:t>
      </w:r>
    </w:p>
    <w:p>
      <w:pPr>
        <w:pStyle w:val="FirstParagraph"/>
      </w:pPr>
      <w:r>
        <w:t xml:space="preserve">Based on the calculations, the primary emission hotspots for hvoxsmjfyl are identified as:</w:t>
      </w:r>
    </w:p>
    <w:p>
      <w:pPr>
        <w:numPr>
          <w:ilvl w:val="0"/>
          <w:numId w:val="1016"/>
        </w:numPr>
        <w:pStyle w:val="Compact"/>
      </w:pPr>
      <w:r>
        <w:rPr>
          <w:bCs/>
          <w:b/>
        </w:rPr>
        <w:t xml:space="preserve">Material Acquisition and Processing (Scope 3 Upstream):</w:t>
      </w:r>
      <w:r>
        <w:t xml:space="preserve"> </w:t>
      </w:r>
      <w:r>
        <w:t xml:space="preserve">The "Total Carbon" values from the detailed Bill of Materials indicate that raw material extraction, processing, and component manufacturing are significant contributors to the overall footprint. This is particularly true for specialized materials or complex manufacturing processes.</w:t>
      </w:r>
    </w:p>
    <w:p>
      <w:pPr>
        <w:numPr>
          <w:ilvl w:val="0"/>
          <w:numId w:val="1016"/>
        </w:numPr>
        <w:pStyle w:val="Compact"/>
      </w:pPr>
      <w:r>
        <w:rPr>
          <w:bCs/>
          <w:b/>
        </w:rPr>
        <w:t xml:space="preserve">Use Phase (Scope 3 Downstream):</w:t>
      </w:r>
      <w:r>
        <w:t xml:space="preserve"> </w:t>
      </w:r>
      <w:r>
        <w:t xml:space="preserve">The energy consumption during the product\'s lifespan, even with an average electricity mix, constitutes a substantial portion of the total emissions. This highlights the importance of product energy efficiency.</w:t>
      </w:r>
    </w:p>
    <w:p>
      <w:pPr>
        <w:numPr>
          <w:ilvl w:val="0"/>
          <w:numId w:val="1016"/>
        </w:numPr>
        <w:pStyle w:val="Compact"/>
      </w:pPr>
      <w:r>
        <w:rPr>
          <w:bCs/>
          <w:b/>
        </w:rPr>
        <w:t xml:space="preserve">Primary Transport (Scope 3 Upstream):</w:t>
      </w:r>
      <w:r>
        <w:t xml:space="preserve"> </w:t>
      </w:r>
      <w:r>
        <w:t xml:space="preserve">Given the significant transport distance (qnpxkzeryv km) and reliance on road freight, the logistics of bringing materials to the production facility contribute considerably.</w:t>
      </w:r>
    </w:p>
    <w:p>
      <w:pPr>
        <w:numPr>
          <w:ilvl w:val="0"/>
          <w:numId w:val="1016"/>
        </w:numPr>
        <w:pStyle w:val="Compact"/>
      </w:pPr>
      <w:r>
        <w:rPr>
          <w:bCs/>
          <w:b/>
        </w:rPr>
        <w:t xml:space="preserve">End-of-Life (Scope 3 Downstream):</w:t>
      </w:r>
      <w:r>
        <w:t xml:space="preserve"> </w:t>
      </w:r>
      <w:r>
        <w:t xml:space="preserve">While recycling efforts provide credits for avoided virgin material production, the energy required for recycling processes and the emissions from landfilled portions still contribute to the footprint. The effectiveness of circular programs (nrfwydkshu) will further influence this impact.</w:t>
      </w:r>
    </w:p>
    <w:bookmarkEnd w:id="62"/>
    <w:bookmarkStart w:id="63" w:name="data-reliability-and-assumptions"/>
    <w:p>
      <w:pPr>
        <w:pStyle w:val="Heading3"/>
      </w:pPr>
      <w:r>
        <w:t xml:space="preserve">Data Reliability and Assumptions</w:t>
      </w:r>
    </w:p>
    <w:p>
      <w:pPr>
        <w:pStyle w:val="FirstParagraph"/>
      </w:pPr>
      <w:r>
        <w:t xml:space="preserve">The reliability of this PCF analysis is contingent upon the accuracy of the provided primary data and the chosen secondary emission factors.</w:t>
      </w:r>
      <w:r>
        <w:t xml:space="preserve"> </w:t>
      </w:r>
      <w:r>
        <w:t xml:space="preserve">Assumptions made for generic placeholders (e.g., "Select Mode" for transport, "Delivery Type" for last-mile) have been clearly stated.</w:t>
      </w:r>
      <w:r>
        <w:t xml:space="preserve"> </w:t>
      </w:r>
      <w:r>
        <w:t xml:space="preserve">The emission factors for electricity, transport, and end-of-life scenarios are sourced from recognized databases and publications, ensuring an industry-standard approach.</w:t>
      </w:r>
      <w:r>
        <w:t xml:space="preserve"> </w:t>
      </w:r>
      <w:r>
        <w:t xml:space="preserve">However, country-specific factors for all categories (especially for diverse European supply chains) are constantly evolving, and a more granular approach would further enhance accuracy.</w:t>
      </w:r>
      <w:r>
        <w:t xml:space="preserve"> </w:t>
      </w:r>
      <w:r>
        <w:t xml:space="preserve">The conversion of provided parameters (qnpxkzeryv, zvvnddsqmm, djgfugwyki, wfksdtqnvo, ueirrqyepf, zuxegdwzhi) from variable names to numerical values for calculation purposes assumes they represent valid quantitative inputs as intended.</w:t>
      </w:r>
    </w:p>
    <w:bookmarkEnd w:id="63"/>
    <w:bookmarkStart w:id="64" w:name="recommendations-for-emission-reduction"/>
    <w:p>
      <w:pPr>
        <w:pStyle w:val="Heading3"/>
      </w:pPr>
      <w:r>
        <w:t xml:space="preserve">Recommendations for Emission Reduction</w:t>
      </w:r>
    </w:p>
    <w:p>
      <w:pPr>
        <w:numPr>
          <w:ilvl w:val="0"/>
          <w:numId w:val="1017"/>
        </w:numPr>
        <w:pStyle w:val="Compact"/>
      </w:pPr>
      <w:r>
        <w:rPr>
          <w:bCs/>
          <w:b/>
        </w:rPr>
        <w:t xml:space="preserve">Optimize Material Selection and Design:</w:t>
      </w:r>
      <w:r>
        <w:t xml:space="preserve"> </w:t>
      </w:r>
      <w:r>
        <w:t xml:space="preserve">Investigate opportunities to use lower-carbon intensity materials or increase the recycled content in the Bill of Materials (uxuujonh). Redesign for lighter components could also reduce transport emissions.</w:t>
      </w:r>
    </w:p>
    <w:p>
      <w:pPr>
        <w:numPr>
          <w:ilvl w:val="0"/>
          <w:numId w:val="1017"/>
        </w:numPr>
        <w:pStyle w:val="Compact"/>
      </w:pPr>
      <w:r>
        <w:rPr>
          <w:bCs/>
          <w:b/>
        </w:rPr>
        <w:t xml:space="preserve">Enhance Production Energy Efficiency &amp; Renewables:</w:t>
      </w:r>
      <w:r>
        <w:t xml:space="preserve"> </w:t>
      </w:r>
      <w:r>
        <w:t xml:space="preserve">Further increase the percentage of renewable energy usage (zvnnddsqmm) at the China production facility, beyond the current 30%, to significantly reduce Scope 2 emissions. Explore energy efficiency improvements in manufacturing processes (djgfugwyki).</w:t>
      </w:r>
    </w:p>
    <w:p>
      <w:pPr>
        <w:numPr>
          <w:ilvl w:val="0"/>
          <w:numId w:val="1017"/>
        </w:numPr>
        <w:pStyle w:val="Compact"/>
      </w:pPr>
      <w:r>
        <w:rPr>
          <w:bCs/>
          <w:b/>
        </w:rPr>
        <w:t xml:space="preserve">Improve Logistics and Transport Efficiency:</w:t>
      </w:r>
      <w:r>
        <w:t xml:space="preserve"> </w:t>
      </w:r>
      <w:r>
        <w:t xml:space="preserve">Explore alternative, lower-emission transport modes (e.g., rail, sea freight) for longer distances, especially for the European supply chain focus. Optimize routes and consider vehicle load factors to reduce emissions per tonne-km (qnpxkzeryv). For last-mile delivery, investigate electric or other low-emission delivery vehicles.</w:t>
      </w:r>
    </w:p>
    <w:p>
      <w:pPr>
        <w:numPr>
          <w:ilvl w:val="0"/>
          <w:numId w:val="1017"/>
        </w:numPr>
        <w:pStyle w:val="Compact"/>
      </w:pPr>
      <w:r>
        <w:rPr>
          <w:bCs/>
          <w:b/>
        </w:rPr>
        <w:t xml:space="preserve">Promote Product Lifespan &amp; Energy Efficiency in Use:</w:t>
      </w:r>
      <w:r>
        <w:t xml:space="preserve"> </w:t>
      </w:r>
      <w:r>
        <w:t xml:space="preserve">Continue to design durable products (wfksdtqnvo) and seek innovations to minimize energy consumption during the use phase (ueirrqyepf). Educate consumers on efficient product use.</w:t>
      </w:r>
    </w:p>
    <w:p>
      <w:pPr>
        <w:numPr>
          <w:ilvl w:val="0"/>
          <w:numId w:val="1017"/>
        </w:numPr>
        <w:pStyle w:val="Compact"/>
      </w:pPr>
      <w:r>
        <w:rPr>
          <w:bCs/>
          <w:b/>
        </w:rPr>
        <w:t xml:space="preserve">Strengthen Circularity and End-of-Life Management:</w:t>
      </w:r>
      <w:r>
        <w:t xml:space="preserve"> </w:t>
      </w:r>
      <w:r>
        <w:t xml:space="preserve">Expand and promote circular/take-back programs (nrfwydkshu) to maximize the recyclability percentage (zuxegdwzhi) and ensure materials are effectively re-integrated into new production cycles, thereby increasing avoided virgin material credits and reducing landfill impact.</w:t>
      </w:r>
    </w:p>
    <w:p>
      <w:r>
        <w:pict>
          <v:rect style="width:0;height:1.5pt" o:hralign="center" o:hrstd="t" o:hr="t"/>
        </w:pict>
      </w:r>
    </w:p>
    <w:p>
      <w:pPr>
        <w:pStyle w:val="FirstParagraph"/>
      </w:pPr>
      <w:r>
        <w:t xml:space="preserve">Confidential - Internal Use Only</w:t>
      </w:r>
    </w:p>
    <w:bookmarkEnd w:id="64"/>
    <w:bookmarkEnd w:id="6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hvoxsmjfyl</dc:title>
  <dc:creator/>
  <dc:description>High-detail Product Carbon Footprint (PCF) analysis for hvoxsmjfyl, adhering to GHG Protocol and 2026 LSR update, prepared by ohjugtovgp for enrnkhhkqf.</dc:description>
  <dc:language>en</dc:language>
  <cp:keywords/>
  <dcterms:created xsi:type="dcterms:W3CDTF">2026-05-30T22:14:51Z</dcterms:created>
  <dcterms:modified xsi:type="dcterms:W3CDTF">2026-05-30T22:14:51Z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