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huypxgjesd</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huypxgjesd</w:t>
      </w:r>
    </w:p>
    <w:p>
      <w:pPr>
        <w:pStyle w:val="BodyText"/>
      </w:pPr>
      <w:r>
        <w:rPr>
          <w:bCs/>
          <w:b/>
        </w:rPr>
        <w:t xml:space="preserve">Company:</w:t>
      </w:r>
      <w:r>
        <w:t xml:space="preserve"> </w:t>
      </w:r>
      <w:r>
        <w:t xml:space="preserve">pfoszipfod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uhkujpqeif</w:t>
      </w:r>
    </w:p>
    <w:p>
      <w:pPr>
        <w:pStyle w:val="BodyText"/>
      </w:pPr>
      <w:r>
        <w:t xml:space="preserve">Disclaimer: This report is generated based on available data and industry standards, incorporating specific parameters provided. The numerical values used for calculations within this report are illustrative examples, chosen to demonstrate the methodology and potential insights. Actual values would require specific, verified primary data for each parameter.</w:t>
      </w:r>
    </w:p>
    <w:bookmarkEnd w:id="20"/>
    <w:bookmarkStart w:id="46"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June 4, 2026</w:t>
      </w:r>
    </w:p>
    <w:p>
      <w:pPr>
        <w:pStyle w:val="BodyText"/>
      </w:pPr>
      <w:r>
        <w:rPr>
          <w:bCs/>
          <w:b/>
        </w:rPr>
        <w:t xml:space="preserve">Product:</w:t>
      </w:r>
      <w:r>
        <w:t xml:space="preserve"> </w:t>
      </w:r>
      <w:r>
        <w:t xml:space="preserve">huypxgjesd</w:t>
      </w:r>
    </w:p>
    <w:p>
      <w:r>
        <w:pict>
          <v:rect style="width:0;height:1.5pt" o:hralign="center" o:hrstd="t" o:hr="t"/>
        </w:pict>
      </w:r>
    </w:p>
    <w:bookmarkStart w:id="21" w:name="executive-summary"/>
    <w:p>
      <w:pPr>
        <w:pStyle w:val="Heading2"/>
      </w:pPr>
      <w:r>
        <w:t xml:space="preserve">Executive Summary</w:t>
      </w:r>
    </w:p>
    <w:p>
      <w:pPr>
        <w:pStyle w:val="FirstParagraph"/>
      </w:pPr>
      <w:r>
        <w:t xml:space="preserve">As uhkujpqeif, Senior Sustainability Consultant for pfoszipfod, I present this detailed Product Carbon Footprint (PCF) analysis for huypxgjesd. This report quantifies the greenhouse gas (GHG) emissions across the product\'s lifecycle, adhering strictly to the GHG Protocol Corporate Value Chain (Scope 3) Accounting and Reporting Standard, including the 2026 Land Sector and Removals (LSR) update and ensuring robust Scope 3 compliance. The analysis highlights key emission hotspots from material sourcing to end-of-life, providing a foundational understanding for strategic decarbonization efforts.</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This Product Carbon Footprint (PCF) analysis is conducted following the five-step methodology prescribed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adherence-to-ghg-protocol"/>
    <w:p>
      <w:pPr>
        <w:pStyle w:val="Heading3"/>
      </w:pPr>
      <w:r>
        <w:t xml:space="preserve">1.1. Adherence to GHG Protocol</w:t>
      </w:r>
    </w:p>
    <w:p>
      <w:pPr>
        <w:pStyle w:val="FirstParagraph"/>
      </w:pPr>
      <w:r>
        <w:t xml:space="preserve">Emissions are categorized into Scope 1 (direct emissions from owned or controlled sources), Scope 2 (indirect emissions from purchased electricity, steam, heating, and cooling), and Scope 3 (all other indirect emissions in the value chain).</w:t>
      </w:r>
    </w:p>
    <w:p>
      <w:pPr>
        <w:pStyle w:val="BodyText"/>
      </w:pPr>
      <w:r>
        <w:t xml:space="preserve">The analysis incorporates the 2026 Land Sector and Removals (LSR) Standard for land use and carbon removals, ensuring a comprehensive assessment of biogenic carbon flows. Furthermore, this report ensures at least 95% coverage for Scope 3 reporting, in line with stringent 2026 requirements, utilizing activity-based data for material categories where possible.</w:t>
      </w:r>
    </w:p>
    <w:bookmarkEnd w:id="22"/>
    <w:bookmarkStart w:id="23" w:name="defined-parameters"/>
    <w:p>
      <w:pPr>
        <w:pStyle w:val="Heading3"/>
      </w:pPr>
      <w:r>
        <w:t xml:space="preserve">1.2. Defined Parameters</w:t>
      </w:r>
    </w:p>
    <w:p>
      <w:pPr>
        <w:numPr>
          <w:ilvl w:val="0"/>
          <w:numId w:val="1002"/>
        </w:numPr>
        <w:pStyle w:val="Compact"/>
      </w:pPr>
      <w:r>
        <w:rPr>
          <w:bCs/>
          <w:b/>
        </w:rPr>
        <w:t xml:space="preserve">Functional Unit:</w:t>
      </w:r>
      <w:r>
        <w:t xml:space="preserve"> </w:t>
      </w:r>
      <w:r>
        <w:t xml:space="preserve">1.0 unit of huypxgjesd</w:t>
      </w:r>
    </w:p>
    <w:p>
      <w:pPr>
        <w:numPr>
          <w:ilvl w:val="0"/>
          <w:numId w:val="1002"/>
        </w:numPr>
        <w:pStyle w:val="Compact"/>
      </w:pPr>
      <w:r>
        <w:rPr>
          <w:bCs/>
          <w:b/>
        </w:rPr>
        <w:t xml:space="preserve">System Boundary:</w:t>
      </w:r>
      <w:r>
        <w:t xml:space="preserve"> </w:t>
      </w:r>
      <w:r>
        <w:t xml:space="preserve">factory_gate (cradle-to-gate with downstream use and end-of-life consideration for holistic view).</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Company Name:</w:t>
      </w:r>
      <w:r>
        <w:t xml:space="preserve"> </w:t>
      </w:r>
      <w:r>
        <w:t xml:space="preserve">pfoszipfod</w:t>
      </w:r>
    </w:p>
    <w:p>
      <w:pPr>
        <w:numPr>
          <w:ilvl w:val="0"/>
          <w:numId w:val="1002"/>
        </w:numPr>
        <w:pStyle w:val="Compact"/>
      </w:pPr>
      <w:r>
        <w:rPr>
          <w:bCs/>
          <w:b/>
        </w:rPr>
        <w:t xml:space="preserve">Senior Sustainability Consultant:</w:t>
      </w:r>
      <w:r>
        <w:t xml:space="preserve"> </w:t>
      </w:r>
      <w:r>
        <w:t xml:space="preserve">uhkujpqeif</w:t>
      </w:r>
    </w:p>
    <w:p>
      <w:pPr>
        <w:pStyle w:val="FirstParagraph"/>
      </w:pPr>
      <w:r>
        <w:t xml:space="preserve">Allocation is performed on a mass basis where relevant, particularly for shared transport or waste streams, to ensure emissions are attributed accurately to the functional unit.</w:t>
      </w:r>
    </w:p>
    <w:p>
      <w:r>
        <w:pict>
          <v:rect style="width:0;height:1.5pt" o:hralign="center" o:hrstd="t" o:hr="t"/>
        </w:pict>
      </w:r>
    </w:p>
    <w:bookmarkEnd w:id="23"/>
    <w:bookmarkEnd w:id="24"/>
    <w:bookmarkStart w:id="30" w:name="lifecycle-mapping-and-3.-data-collection"/>
    <w:p>
      <w:pPr>
        <w:pStyle w:val="Heading2"/>
      </w:pPr>
      <w:r>
        <w:t xml:space="preserve">2. Lifecycle Mapping and 3. Data Collection</w:t>
      </w:r>
    </w:p>
    <w:p>
      <w:pPr>
        <w:pStyle w:val="FirstParagraph"/>
      </w:pPr>
      <w:r>
        <w:t xml:space="preserve">The lifecycle of huypxgjesd is mapped across its key stages: raw material acquisition, manufacturing, transportation, use phase, and end-of-life. Data collection integrates both primary (provided parameters) and secondary (industry-average emission factors) data points.</w:t>
      </w:r>
    </w:p>
    <w:bookmarkStart w:id="25" w:name="X3e6b731b5613ed51cec9f48479e2e32edeafed3"/>
    <w:p>
      <w:pPr>
        <w:pStyle w:val="Heading3"/>
      </w:pPr>
      <w:r>
        <w:t xml:space="preserve">2.1. Material Inputs (Upstream - Scope 3, Category 1: Purchased Goods and Services)</w:t>
      </w:r>
    </w:p>
    <w:p>
      <w:pPr>
        <w:pStyle w:val="FirstParagraph"/>
      </w:pPr>
      <w:r>
        <w:t xml:space="preserve">The following Detailed Bill of Materials (BOM) for rutqvxwh is used for high-accuracy material impact calculation. Emission factors represent cradle-to-gate emissions for each material, including extraction, processing, and manufacturing, delivered to the factory gate.</w:t>
      </w:r>
    </w:p>
    <w:p>
      <w:pPr>
        <w:pStyle w:val="BodyText"/>
      </w:pPr>
      <w:r>
        <w:rPr>
          <w:iCs/>
          <w:i/>
        </w:rPr>
        <w:t xml:space="preserve">(Note: The following BOM data uses illustrative example values based on industry averages, as specific numerical data for \'rutqvxwh\' was not provided. The format adheres to the user\'s specification.)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4.5</w:t>
            </w:r>
          </w:p>
        </w:tc>
        <w:tc>
          <w:tcPr/>
          <w:p>
            <w:pPr>
              <w:pStyle w:val="Compact"/>
              <w:jc w:val="left"/>
            </w:pPr>
            <w:r>
              <w:t xml:space="preserve">3.60</w:t>
            </w:r>
          </w:p>
        </w:tc>
      </w:tr>
      <w:tr>
        <w:tc>
          <w:tcPr/>
          <w:p>
            <w:pPr>
              <w:pStyle w:val="Compact"/>
              <w:jc w:val="left"/>
            </w:pPr>
            <w:r>
              <w:t xml:space="preserve">M-002</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Steel Screws (x10)</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gridSpan w:val="7"/>
          </w:tcPr>
          <w:p>
            <w:pPr>
              <w:pStyle w:val="Compact"/>
              <w:jc w:val="right"/>
            </w:pPr>
            <w:r>
              <w:t xml:space="preserve">Sub-Total Material Emissions:</w:t>
            </w:r>
          </w:p>
        </w:tc>
        <w:tc>
          <w:tcPr/>
          <w:p>
            <w:pPr>
              <w:pStyle w:val="Compact"/>
              <w:jc w:val="left"/>
            </w:pPr>
            <w:r>
              <w:t xml:space="preserve">12.87 kg CO2e</w:t>
            </w:r>
          </w:p>
        </w:tc>
      </w:tr>
    </w:tbl>
    <w:bookmarkEnd w:id="25"/>
    <w:bookmarkStart w:id="26" w:name="X6918f6ec560b97abafc6c8226b8133adab3ef0b"/>
    <w:p>
      <w:pPr>
        <w:pStyle w:val="Heading3"/>
      </w:pPr>
      <w:r>
        <w:t xml:space="preserve">2.2. Energy Inputs (Production - Scope 2: Purchased Energy &amp; Scope 3, Category 3: Fuel- and Energy-Related Activities)</w:t>
      </w:r>
    </w:p>
    <w:p>
      <w:pPr>
        <w:pStyle w:val="FirstParagraph"/>
      </w:pPr>
      <w:r>
        <w:t xml:space="preserve">Energy consumption in the production phase is crucial for the overall footprint. The data used for production includes:</w:t>
      </w:r>
    </w:p>
    <w:p>
      <w:pPr>
        <w:numPr>
          <w:ilvl w:val="0"/>
          <w:numId w:val="1003"/>
        </w:numPr>
        <w:pStyle w:val="Compact"/>
      </w:pPr>
      <w:r>
        <w:rPr>
          <w:bCs/>
          <w:b/>
        </w:rPr>
        <w:t xml:space="preserve">Renewable Energy Usage:</w:t>
      </w:r>
      <w:r>
        <w:t xml:space="preserve"> </w:t>
      </w:r>
      <w:r>
        <w:t xml:space="preserve">vrkioshkjq (e.g., "70% Renewable")</w:t>
      </w:r>
    </w:p>
    <w:p>
      <w:pPr>
        <w:numPr>
          <w:ilvl w:val="0"/>
          <w:numId w:val="1003"/>
        </w:numPr>
        <w:pStyle w:val="Compact"/>
      </w:pPr>
      <w:r>
        <w:rPr>
          <w:bCs/>
          <w:b/>
        </w:rPr>
        <w:t xml:space="preserve">Energy Intensity (kWh/unit):</w:t>
      </w:r>
      <w:r>
        <w:t xml:space="preserve"> </w:t>
      </w:r>
      <w:r>
        <w:t xml:space="preserve">eyhvxpruxm (e.g., "5 kWh/unit")</w:t>
      </w:r>
    </w:p>
    <w:p>
      <w:pPr>
        <w:pStyle w:val="FirstParagraph"/>
      </w:pPr>
      <w:r>
        <w:t xml:space="preserve">Given the final production country is China, a representative grid emission factor for China is used for the non-renewable portion of electricity. Based on recent data, an average grid emission factor for China is approximately 0.55-0.60 kg CO2e/kWh. For the renewable portion, a near-zero operational emission factor is applied, while upstream emissions from renewable energy infrastructure are accounted for within Scope 3, Category 3.</w:t>
      </w:r>
    </w:p>
    <w:p>
      <w:pPr>
        <w:pStyle w:val="BodyText"/>
      </w:pPr>
      <w:r>
        <w:rPr>
          <w:iCs/>
          <w:i/>
        </w:rPr>
        <w:t xml:space="preserve">(Example values for calculation:)</w:t>
      </w:r>
    </w:p>
    <w:p>
      <w:pPr>
        <w:numPr>
          <w:ilvl w:val="0"/>
          <w:numId w:val="1004"/>
        </w:numPr>
        <w:pStyle w:val="Compact"/>
      </w:pPr>
      <w:r>
        <w:t xml:space="preserve">Total electricity consumed: 5 kWh/unit</w:t>
      </w:r>
    </w:p>
    <w:p>
      <w:pPr>
        <w:numPr>
          <w:ilvl w:val="0"/>
          <w:numId w:val="1004"/>
        </w:numPr>
        <w:pStyle w:val="Compact"/>
      </w:pPr>
      <w:r>
        <w:t xml:space="preserve">Renewable energy share: 70%</w:t>
      </w:r>
    </w:p>
    <w:p>
      <w:pPr>
        <w:numPr>
          <w:ilvl w:val="0"/>
          <w:numId w:val="1004"/>
        </w:numPr>
        <w:pStyle w:val="Compact"/>
      </w:pPr>
      <w:r>
        <w:t xml:space="preserve">Non-renewable energy share: 30%</w:t>
      </w:r>
    </w:p>
    <w:p>
      <w:pPr>
        <w:numPr>
          <w:ilvl w:val="0"/>
          <w:numId w:val="1004"/>
        </w:numPr>
        <w:pStyle w:val="Compact"/>
      </w:pPr>
      <w:r>
        <w:t xml:space="preserve">Grid emission factor (China, illustrative): 0.58 kg CO2e/kWh</w:t>
      </w:r>
    </w:p>
    <w:p>
      <w:pPr>
        <w:numPr>
          <w:ilvl w:val="0"/>
          <w:numId w:val="1004"/>
        </w:numPr>
        <w:pStyle w:val="Compact"/>
      </w:pPr>
      <w:r>
        <w:t xml:space="preserve">Renewable energy emission factor (operational): 0.00 kg CO2e/kWh</w:t>
      </w:r>
    </w:p>
    <w:p>
      <w:pPr>
        <w:numPr>
          <w:ilvl w:val="0"/>
          <w:numId w:val="1004"/>
        </w:numPr>
        <w:pStyle w:val="Compact"/>
      </w:pPr>
      <w:r>
        <w:t xml:space="preserve">Upstream renewable energy infrastructure emissions (illustrative, for 70% of 5 kWh): 0.01 kg CO2e/kWh</w:t>
      </w:r>
    </w:p>
    <w:bookmarkEnd w:id="26"/>
    <w:bookmarkStart w:id="27" w:name="X2ed737c0ce3051411e6fbac1176eff66967cf40"/>
    <w:p>
      <w:pPr>
        <w:pStyle w:val="Heading3"/>
      </w:pPr>
      <w:r>
        <w:t xml:space="preserve">2.3. Logistics Data (Scope 3, Category 4: Upstream Transportation and Distribution &amp; Category 9: Downstream Transportation and Distribution)</w:t>
      </w:r>
    </w:p>
    <w:p>
      <w:pPr>
        <w:pStyle w:val="FirstParagraph"/>
      </w:pPr>
      <w:r>
        <w:t xml:space="preserve">Specific logistics data are incorporated into the supply chain analysis:</w:t>
      </w:r>
    </w:p>
    <w:p>
      <w:pPr>
        <w:numPr>
          <w:ilvl w:val="0"/>
          <w:numId w:val="1005"/>
        </w:numPr>
        <w:pStyle w:val="Compact"/>
      </w:pPr>
      <w:r>
        <w:rPr>
          <w:bCs/>
          <w:b/>
        </w:rPr>
        <w:t xml:space="preserve">Transport Mode:</w:t>
      </w:r>
      <w:r>
        <w:t xml:space="preserve"> </w:t>
      </w:r>
      <w:r>
        <w:t xml:space="preserve">Select Mode (e.g., "Ocean Freight &amp; Road")</w:t>
      </w:r>
    </w:p>
    <w:p>
      <w:pPr>
        <w:numPr>
          <w:ilvl w:val="0"/>
          <w:numId w:val="1005"/>
        </w:numPr>
        <w:pStyle w:val="Compact"/>
      </w:pPr>
      <w:r>
        <w:rPr>
          <w:bCs/>
          <w:b/>
        </w:rPr>
        <w:t xml:space="preserve">Transport Distance:</w:t>
      </w:r>
      <w:r>
        <w:t xml:space="preserve"> </w:t>
      </w:r>
      <w:r>
        <w:t xml:space="preserve">wzrjffxtjy (e.g., "15,000 km ocean, 500 km road upstream, 100 km road last-mile")</w:t>
      </w:r>
    </w:p>
    <w:p>
      <w:pPr>
        <w:numPr>
          <w:ilvl w:val="0"/>
          <w:numId w:val="1005"/>
        </w:numPr>
        <w:pStyle w:val="Compact"/>
      </w:pPr>
      <w:r>
        <w:rPr>
          <w:bCs/>
          <w:b/>
        </w:rPr>
        <w:t xml:space="preserve">Last-Mile Delivery Channel:</w:t>
      </w:r>
      <w:r>
        <w:t xml:space="preserve"> </w:t>
      </w:r>
      <w:r>
        <w:t xml:space="preserve">Delivery Type (e.g., "Road Freight")</w:t>
      </w:r>
    </w:p>
    <w:p>
      <w:pPr>
        <w:pStyle w:val="FirstParagraph"/>
      </w:pPr>
      <w:r>
        <w:t xml:space="preserve">Emissions are calculated based on the mode of transport, distance, and assumed product weight (e.g., 2 kg for huypxgjesd, derived from BOM). Industry-standard emission factors are applied (e.g., from GLEC Framework for transport).</w:t>
      </w:r>
    </w:p>
    <w:p>
      <w:pPr>
        <w:pStyle w:val="BodyText"/>
      </w:pPr>
      <w:r>
        <w:rPr>
          <w:iCs/>
          <w:i/>
        </w:rPr>
        <w:t xml:space="preserve">(Example values for calculation, assuming 2 kg product weight for transport:)</w:t>
      </w:r>
    </w:p>
    <w:p>
      <w:pPr>
        <w:numPr>
          <w:ilvl w:val="0"/>
          <w:numId w:val="1006"/>
        </w:numPr>
        <w:pStyle w:val="Compact"/>
      </w:pPr>
      <w:r>
        <w:rPr>
          <w:bCs/>
          <w:b/>
        </w:rPr>
        <w:t xml:space="preserve">Upstream Transport (Europe Focused to China Production):</w:t>
      </w:r>
    </w:p>
    <w:p>
      <w:pPr>
        <w:numPr>
          <w:ilvl w:val="1"/>
          <w:numId w:val="1007"/>
        </w:numPr>
        <w:pStyle w:val="Compact"/>
      </w:pPr>
      <w:r>
        <w:t xml:space="preserve">Mode: Ocean Freight (e.g., container ship)</w:t>
      </w:r>
    </w:p>
    <w:p>
      <w:pPr>
        <w:numPr>
          <w:ilvl w:val="1"/>
          <w:numId w:val="1007"/>
        </w:numPr>
        <w:pStyle w:val="Compact"/>
      </w:pPr>
      <w:r>
        <w:t xml:space="preserve">Distance: 15,000 km</w:t>
      </w:r>
    </w:p>
    <w:p>
      <w:pPr>
        <w:numPr>
          <w:ilvl w:val="1"/>
          <w:numId w:val="1007"/>
        </w:numPr>
        <w:pStyle w:val="Compact"/>
      </w:pPr>
      <w:r>
        <w:t xml:space="preserve">Emission Factor (Ocean Freight, illustrative): 0.01 kg CO2e/tonne-km</w:t>
      </w:r>
    </w:p>
    <w:p>
      <w:pPr>
        <w:numPr>
          <w:ilvl w:val="1"/>
          <w:numId w:val="1007"/>
        </w:numPr>
        <w:pStyle w:val="Compact"/>
      </w:pPr>
      <w:r>
        <w:t xml:space="preserve">Mode: Road Freight (e.g., heavy duty truck from port to factory)</w:t>
      </w:r>
    </w:p>
    <w:p>
      <w:pPr>
        <w:numPr>
          <w:ilvl w:val="1"/>
          <w:numId w:val="1007"/>
        </w:numPr>
        <w:pStyle w:val="Compact"/>
      </w:pPr>
      <w:r>
        <w:t xml:space="preserve">Distance: 500 km</w:t>
      </w:r>
    </w:p>
    <w:p>
      <w:pPr>
        <w:numPr>
          <w:ilvl w:val="1"/>
          <w:numId w:val="1007"/>
        </w:numPr>
        <w:pStyle w:val="Compact"/>
      </w:pPr>
      <w:r>
        <w:t xml:space="preserve">Emission Factor (Road Freight, illustrative): 0.1 kg CO2e/tonne-km</w:t>
      </w:r>
    </w:p>
    <w:p>
      <w:pPr>
        <w:numPr>
          <w:ilvl w:val="0"/>
          <w:numId w:val="1006"/>
        </w:numPr>
        <w:pStyle w:val="Compact"/>
      </w:pPr>
      <w:r>
        <w:rPr>
          <w:bCs/>
          <w:b/>
        </w:rPr>
        <w:t xml:space="preserve">Downstream Transport (Last-Mile Delivery within China from factory to customer):</w:t>
      </w:r>
    </w:p>
    <w:p>
      <w:pPr>
        <w:numPr>
          <w:ilvl w:val="1"/>
          <w:numId w:val="1008"/>
        </w:numPr>
        <w:pStyle w:val="Compact"/>
      </w:pPr>
      <w:r>
        <w:t xml:space="preserve">Mode: Road Freight (e.g., light commercial vehicle)</w:t>
      </w:r>
    </w:p>
    <w:p>
      <w:pPr>
        <w:numPr>
          <w:ilvl w:val="1"/>
          <w:numId w:val="1008"/>
        </w:numPr>
        <w:pStyle w:val="Compact"/>
      </w:pPr>
      <w:r>
        <w:t xml:space="preserve">Distance: 100 km</w:t>
      </w:r>
    </w:p>
    <w:p>
      <w:pPr>
        <w:numPr>
          <w:ilvl w:val="1"/>
          <w:numId w:val="1008"/>
        </w:numPr>
        <w:pStyle w:val="Compact"/>
      </w:pPr>
      <w:r>
        <w:t xml:space="preserve">Emission Factor (Road Freight, illustrative): 0.1 kg CO2e/tonne-km</w:t>
      </w:r>
    </w:p>
    <w:bookmarkEnd w:id="27"/>
    <w:bookmarkStart w:id="28" w:name="X9c47a088dc2010630d22d37d8f68ea322772e33"/>
    <w:p>
      <w:pPr>
        <w:pStyle w:val="Heading3"/>
      </w:pPr>
      <w:r>
        <w:t xml:space="preserve">2.4. Use Phase Data (Scope 3, Category 11: Use of Sold Products)</w:t>
      </w:r>
    </w:p>
    <w:p>
      <w:pPr>
        <w:pStyle w:val="FirstParagraph"/>
      </w:pPr>
      <w:r>
        <w:t xml:space="preserve">The use phase calculation uses the specific durability and consumption data:</w:t>
      </w:r>
    </w:p>
    <w:p>
      <w:pPr>
        <w:numPr>
          <w:ilvl w:val="0"/>
          <w:numId w:val="1009"/>
        </w:numPr>
        <w:pStyle w:val="Compact"/>
      </w:pPr>
      <w:r>
        <w:rPr>
          <w:bCs/>
          <w:b/>
        </w:rPr>
        <w:t xml:space="preserve">Product Lifespan:</w:t>
      </w:r>
      <w:r>
        <w:t xml:space="preserve"> </w:t>
      </w:r>
      <w:r>
        <w:t xml:space="preserve">wlhwykkhhl (e.g., "5 years")</w:t>
      </w:r>
    </w:p>
    <w:p>
      <w:pPr>
        <w:numPr>
          <w:ilvl w:val="0"/>
          <w:numId w:val="1009"/>
        </w:numPr>
        <w:pStyle w:val="Compact"/>
      </w:pPr>
      <w:r>
        <w:rPr>
          <w:bCs/>
          <w:b/>
        </w:rPr>
        <w:t xml:space="preserve">Energy Consumption in Use:</w:t>
      </w:r>
      <w:r>
        <w:t xml:space="preserve"> </w:t>
      </w:r>
      <w:r>
        <w:t xml:space="preserve">kqnjqfotvq (e.g., "10 kWh/year")</w:t>
      </w:r>
    </w:p>
    <w:p>
      <w:pPr>
        <w:pStyle w:val="FirstParagraph"/>
      </w:pPr>
      <w:r>
        <w:t xml:space="preserve">Emissions from energy consumption during the use phase are calculated using the grid emission factor for China, assuming typical end-user electricity mix.</w:t>
      </w:r>
    </w:p>
    <w:p>
      <w:pPr>
        <w:pStyle w:val="BodyText"/>
      </w:pPr>
      <w:r>
        <w:rPr>
          <w:iCs/>
          <w:i/>
        </w:rPr>
        <w:t xml:space="preserve">(Example values for calculation:)</w:t>
      </w:r>
    </w:p>
    <w:p>
      <w:pPr>
        <w:numPr>
          <w:ilvl w:val="0"/>
          <w:numId w:val="1010"/>
        </w:numPr>
        <w:pStyle w:val="Compact"/>
      </w:pPr>
      <w:r>
        <w:t xml:space="preserve">Annual energy consumption: 10 kWh/year</w:t>
      </w:r>
    </w:p>
    <w:p>
      <w:pPr>
        <w:numPr>
          <w:ilvl w:val="0"/>
          <w:numId w:val="1010"/>
        </w:numPr>
        <w:pStyle w:val="Compact"/>
      </w:pPr>
      <w:r>
        <w:t xml:space="preserve">Product lifespan: 5 years</w:t>
      </w:r>
    </w:p>
    <w:p>
      <w:pPr>
        <w:numPr>
          <w:ilvl w:val="0"/>
          <w:numId w:val="1010"/>
        </w:numPr>
        <w:pStyle w:val="Compact"/>
      </w:pPr>
      <w:r>
        <w:t xml:space="preserve">Total energy consumption over lifespan: 50 kWh</w:t>
      </w:r>
    </w:p>
    <w:p>
      <w:pPr>
        <w:numPr>
          <w:ilvl w:val="0"/>
          <w:numId w:val="1010"/>
        </w:numPr>
        <w:pStyle w:val="Compact"/>
      </w:pPr>
      <w:r>
        <w:t xml:space="preserve">Grid emission factor (China, illustrative): 0.58 kg CO2e/kWh</w:t>
      </w:r>
    </w:p>
    <w:bookmarkEnd w:id="28"/>
    <w:bookmarkStart w:id="29" w:name="X2ad5f856e11b183ac001e07eeb80069f045ee6a"/>
    <w:p>
      <w:pPr>
        <w:pStyle w:val="Heading3"/>
      </w:pPr>
      <w:r>
        <w:t xml:space="preserve">2.5. End-of-Life (EoL) Data (Scope 3, Category 12: End-of-Life Treatment of Sold Products)</w:t>
      </w:r>
    </w:p>
    <w:p>
      <w:pPr>
        <w:pStyle w:val="FirstParagraph"/>
      </w:pPr>
      <w:r>
        <w:t xml:space="preserve">End-of-Life scenarios are incorporated to reflect circular economy impacts:</w:t>
      </w:r>
    </w:p>
    <w:p>
      <w:pPr>
        <w:numPr>
          <w:ilvl w:val="0"/>
          <w:numId w:val="1011"/>
        </w:numPr>
        <w:pStyle w:val="Compact"/>
      </w:pPr>
      <w:r>
        <w:rPr>
          <w:bCs/>
          <w:b/>
        </w:rPr>
        <w:t xml:space="preserve">Recyclability Percentage:</w:t>
      </w:r>
      <w:r>
        <w:t xml:space="preserve"> </w:t>
      </w:r>
      <w:r>
        <w:t xml:space="preserve">izilpgqvtk (e.g., "80%")</w:t>
      </w:r>
    </w:p>
    <w:p>
      <w:pPr>
        <w:numPr>
          <w:ilvl w:val="0"/>
          <w:numId w:val="1011"/>
        </w:numPr>
        <w:pStyle w:val="Compact"/>
      </w:pPr>
      <w:r>
        <w:rPr>
          <w:bCs/>
          <w:b/>
        </w:rPr>
        <w:t xml:space="preserve">Circular/Take-back Programs:</w:t>
      </w:r>
      <w:r>
        <w:t xml:space="preserve"> </w:t>
      </w:r>
      <w:r>
        <w:t xml:space="preserve">qgkktmfezz (e.g., "Established take-back program for key components")</w:t>
      </w:r>
    </w:p>
    <w:p>
      <w:pPr>
        <w:pStyle w:val="FirstParagraph"/>
      </w:pPr>
      <w:r>
        <w:t xml:space="preserve">EoL emissions account for waste treatment (e.g., landfill, incineration for non-recyclable parts) and potential avoided emissions from recycling, replacing virgin material production.</w:t>
      </w:r>
    </w:p>
    <w:p>
      <w:pPr>
        <w:pStyle w:val="BodyText"/>
      </w:pPr>
      <w:r>
        <w:rPr>
          <w:iCs/>
          <w:i/>
        </w:rPr>
        <w:t xml:space="preserve">(Example values for calculation, assuming 2 kg product weight, 80% recyclability, 20% landfill/incineration:)</w:t>
      </w:r>
    </w:p>
    <w:p>
      <w:pPr>
        <w:numPr>
          <w:ilvl w:val="0"/>
          <w:numId w:val="1012"/>
        </w:numPr>
        <w:pStyle w:val="Compact"/>
      </w:pPr>
      <w:r>
        <w:t xml:space="preserve">Total product weight: 2 kg</w:t>
      </w:r>
    </w:p>
    <w:p>
      <w:pPr>
        <w:numPr>
          <w:ilvl w:val="0"/>
          <w:numId w:val="1012"/>
        </w:numPr>
        <w:pStyle w:val="Compact"/>
      </w:pPr>
      <w:r>
        <w:t xml:space="preserve">Recycled portion: 80% (1.6 kg)</w:t>
      </w:r>
    </w:p>
    <w:p>
      <w:pPr>
        <w:numPr>
          <w:ilvl w:val="0"/>
          <w:numId w:val="1012"/>
        </w:numPr>
        <w:pStyle w:val="Compact"/>
      </w:pPr>
      <w:r>
        <w:t xml:space="preserve">Disposed portion (landfill/incineration): 20% (0.4 kg)</w:t>
      </w:r>
    </w:p>
    <w:p>
      <w:pPr>
        <w:numPr>
          <w:ilvl w:val="0"/>
          <w:numId w:val="1012"/>
        </w:numPr>
        <w:pStyle w:val="Compact"/>
      </w:pPr>
      <w:r>
        <w:t xml:space="preserve">Avoided emissions from recycling (illustrative average credit): -1.5 kg CO2e/kg for mixed materials</w:t>
      </w:r>
    </w:p>
    <w:p>
      <w:pPr>
        <w:numPr>
          <w:ilvl w:val="0"/>
          <w:numId w:val="1012"/>
        </w:numPr>
        <w:pStyle w:val="Compact"/>
      </w:pPr>
      <w:r>
        <w:t xml:space="preserve">Emissions from disposal (landfill/incineration, illustrative): 0.3 kg CO2e/kg</w:t>
      </w:r>
    </w:p>
    <w:p>
      <w:r>
        <w:pict>
          <v:rect style="width:0;height:1.5pt" o:hralign="center" o:hrstd="t" o:hr="t"/>
        </w:pict>
      </w:r>
    </w:p>
    <w:bookmarkEnd w:id="29"/>
    <w:bookmarkEnd w:id="30"/>
    <w:bookmarkStart w:id="41" w:name="X439a6e6dcb43c636bf515ffaf3f59bce0bd6490"/>
    <w:p>
      <w:pPr>
        <w:pStyle w:val="Heading2"/>
      </w:pPr>
      <w:r>
        <w:t xml:space="preserve">4. Emission Calculation (Activity * Emission Factor = CO2e)</w:t>
      </w:r>
    </w:p>
    <w:p>
      <w:pPr>
        <w:pStyle w:val="FirstParagraph"/>
      </w:pPr>
      <w:r>
        <w:t xml:space="preserve">The emissions for each lifecycle stage are calculated and categorized according to the GHG Protocol.</w:t>
      </w:r>
    </w:p>
    <w:bookmarkStart w:id="31" w:name="scope-1-emissions-direct-emissions"/>
    <w:p>
      <w:pPr>
        <w:pStyle w:val="Heading3"/>
      </w:pPr>
      <w:r>
        <w:t xml:space="preserve">4.1. Scope 1 Emissions (Direct Emissions)</w:t>
      </w:r>
    </w:p>
    <w:p>
      <w:pPr>
        <w:pStyle w:val="FirstParagraph"/>
      </w:pPr>
      <w:r>
        <w:t xml:space="preserve">For a "factory_gate" system boundary and given the available parameters, direct emissions from sources owned or controlled by pfoszipfod at the production facility (e.g., on-site fuel combustion) are assumed to be negligible for the product-level PCF if the product manufacturing relies primarily on purchased electricity. If any specific on-site processes involved direct fuel combustion (e.g., heating, specific chemical reactions), these would be quantified here. For this illustrative report, we assume no significant Scope 1 emissions directly attributable to the functional unit at the factory gate.</w:t>
      </w:r>
    </w:p>
    <w:p>
      <w:pPr>
        <w:pStyle w:val="BodyText"/>
      </w:pPr>
      <w:r>
        <w:rPr>
          <w:bCs/>
          <w:b/>
        </w:rPr>
        <w:t xml:space="preserve">Total Scope 1 Emissions: 0.00 kg CO2e</w:t>
      </w:r>
    </w:p>
    <w:bookmarkEnd w:id="31"/>
    <w:bookmarkStart w:id="32" w:name="scope-2-emissions-purchased-energy"/>
    <w:p>
      <w:pPr>
        <w:pStyle w:val="Heading3"/>
      </w:pPr>
      <w:r>
        <w:t xml:space="preserve">4.2. Scope 2 Emissions (Purchased Energy)</w:t>
      </w:r>
    </w:p>
    <w:p>
      <w:pPr>
        <w:pStyle w:val="FirstParagraph"/>
      </w:pPr>
      <w:r>
        <w:t xml:space="preserve">These are indirect emissions from the generation of purchased electricity for the manufacturing of huypxgjesd.</w:t>
      </w:r>
    </w:p>
    <w:p>
      <w:pPr>
        <w:numPr>
          <w:ilvl w:val="0"/>
          <w:numId w:val="1013"/>
        </w:numPr>
        <w:pStyle w:val="Compact"/>
      </w:pPr>
      <w:r>
        <w:t xml:space="preserve">Total Energy Intensity: 5 kWh/unit (eyhvxpruxm)</w:t>
      </w:r>
    </w:p>
    <w:p>
      <w:pPr>
        <w:numPr>
          <w:ilvl w:val="0"/>
          <w:numId w:val="1013"/>
        </w:numPr>
        <w:pStyle w:val="Compact"/>
      </w:pPr>
      <w:r>
        <w:t xml:space="preserve">Non-renewable energy share: 30% of 5 kWh = 1.5 kWh</w:t>
      </w:r>
    </w:p>
    <w:p>
      <w:pPr>
        <w:numPr>
          <w:ilvl w:val="0"/>
          <w:numId w:val="1013"/>
        </w:numPr>
        <w:pStyle w:val="Compact"/>
      </w:pPr>
      <w:r>
        <w:t xml:space="preserve">Renewable energy share: 70% of 5 kWh = 3.5 kWh</w:t>
      </w:r>
    </w:p>
    <w:p>
      <w:pPr>
        <w:numPr>
          <w:ilvl w:val="0"/>
          <w:numId w:val="1013"/>
        </w:numPr>
        <w:pStyle w:val="Compact"/>
      </w:pPr>
      <w:r>
        <w:t xml:space="preserve">Emissions from non-renewable electricity: 1.5 kWh * 0.58 kg CO2e/kWh = 0.87 kg CO2e</w:t>
      </w:r>
    </w:p>
    <w:p>
      <w:pPr>
        <w:numPr>
          <w:ilvl w:val="0"/>
          <w:numId w:val="1013"/>
        </w:numPr>
        <w:pStyle w:val="Compact"/>
      </w:pPr>
      <w:r>
        <w:t xml:space="preserve">Emissions from renewable electricity (operational): 3.5 kWh * 0.00 kg CO2e/kWh = 0.00 kg CO2e</w:t>
      </w:r>
    </w:p>
    <w:p>
      <w:pPr>
        <w:pStyle w:val="FirstParagraph"/>
      </w:pPr>
      <w:r>
        <w:rPr>
          <w:bCs/>
          <w:b/>
        </w:rPr>
        <w:t xml:space="preserve">Total Scope 2 Emissions: 0.87 kg CO2e</w:t>
      </w:r>
    </w:p>
    <w:bookmarkEnd w:id="32"/>
    <w:bookmarkStart w:id="39" w:name="scope-3-emissions-value-chain-emissions"/>
    <w:p>
      <w:pPr>
        <w:pStyle w:val="Heading3"/>
      </w:pPr>
      <w:r>
        <w:t xml:space="preserve">4.3. Scope 3 Emissions (Value Chain Emissions)</w:t>
      </w:r>
    </w:p>
    <w:p>
      <w:pPr>
        <w:pStyle w:val="FirstParagraph"/>
      </w:pPr>
      <w:r>
        <w:t xml:space="preserve">This category covers all other indirect emissions throughout the value chain, ensuring at least 95% coverage as per 2026 requirements.</w:t>
      </w:r>
    </w:p>
    <w:bookmarkStart w:id="33" w:name="Xab9729a0caae076ca89f2f71668734f92723cf2"/>
    <w:p>
      <w:pPr>
        <w:pStyle w:val="Heading4"/>
      </w:pPr>
      <w:r>
        <w:t xml:space="preserve">4.3.1. Category 1: Purchased Goods and Services (Materials)</w:t>
      </w:r>
    </w:p>
    <w:p>
      <w:pPr>
        <w:pStyle w:val="FirstParagraph"/>
      </w:pPr>
      <w:r>
        <w:t xml:space="preserve">Based on the detailed BOM for rutqvxwh:</w:t>
      </w:r>
    </w:p>
    <w:p>
      <w:pPr>
        <w:numPr>
          <w:ilvl w:val="0"/>
          <w:numId w:val="1014"/>
        </w:numPr>
        <w:pStyle w:val="Compact"/>
      </w:pPr>
      <w:r>
        <w:t xml:space="preserve">Sub-Total Material Emissions: 12.87 kg CO2e</w:t>
      </w:r>
    </w:p>
    <w:p>
      <w:pPr>
        <w:pStyle w:val="FirstParagraph"/>
      </w:pPr>
      <w:r>
        <w:rPr>
          <w:bCs/>
          <w:b/>
        </w:rPr>
        <w:t xml:space="preserve">Total Scope 3, Category 1 Emissions: 12.87 kg CO2e</w:t>
      </w:r>
    </w:p>
    <w:bookmarkEnd w:id="33"/>
    <w:bookmarkStart w:id="34" w:name="X9d087a441400f4149471226f2d7a3ad8fabd7a8"/>
    <w:p>
      <w:pPr>
        <w:pStyle w:val="Heading4"/>
      </w:pPr>
      <w:r>
        <w:t xml:space="preserve">4.3.2. Category 3: Fuel- and Energy-Related Activities (not included in Scope 1 or 2)</w:t>
      </w:r>
    </w:p>
    <w:p>
      <w:pPr>
        <w:pStyle w:val="FirstParagraph"/>
      </w:pPr>
      <w:r>
        <w:t xml:space="preserve">This includes upstream emissions associated with the production and transmission of the purchased energy (e.g., well-to-tank emissions for electricity generation). For illustrative purposes, we estimate upstream emissions for the renewable energy and a small factor for grid electricity transmission losses and production.</w:t>
      </w:r>
    </w:p>
    <w:p>
      <w:pPr>
        <w:numPr>
          <w:ilvl w:val="0"/>
          <w:numId w:val="1015"/>
        </w:numPr>
        <w:pStyle w:val="Compact"/>
      </w:pPr>
      <w:r>
        <w:t xml:space="preserve">Upstream for grid electricity (illustrative): 5 kWh * 0.02 kg CO2e/kWh = 0.10 kg CO2e</w:t>
      </w:r>
    </w:p>
    <w:p>
      <w:pPr>
        <w:numPr>
          <w:ilvl w:val="0"/>
          <w:numId w:val="1015"/>
        </w:numPr>
        <w:pStyle w:val="Compact"/>
      </w:pPr>
      <w:r>
        <w:t xml:space="preserve">Upstream for renewable energy infrastructure (illustrative, based on 3.5 kWh renewable): 3.5 kWh * 0.01 kg CO2e/kWh = 0.035 kg CO2e</w:t>
      </w:r>
    </w:p>
    <w:p>
      <w:pPr>
        <w:pStyle w:val="FirstParagraph"/>
      </w:pPr>
      <w:r>
        <w:rPr>
          <w:bCs/>
          <w:b/>
        </w:rPr>
        <w:t xml:space="preserve">Total Scope 3, Category 3 Emissions: 0.14 kg CO2e</w:t>
      </w:r>
    </w:p>
    <w:bookmarkEnd w:id="34"/>
    <w:bookmarkStart w:id="35" w:name="X6669a43143349c25ec93e775eebde43de53a73c"/>
    <w:p>
      <w:pPr>
        <w:pStyle w:val="Heading4"/>
      </w:pPr>
      <w:r>
        <w:t xml:space="preserve">4.3.3. Category 4: Upstream Transportation and Distribution</w:t>
      </w:r>
    </w:p>
    <w:p>
      <w:pPr>
        <w:pStyle w:val="FirstParagraph"/>
      </w:pPr>
      <w:r>
        <w:t xml:space="preserve">Based on illustrative transport data (Europe Focused Supply Chain to China Production):</w:t>
      </w:r>
    </w:p>
    <w:p>
      <w:pPr>
        <w:numPr>
          <w:ilvl w:val="0"/>
          <w:numId w:val="1016"/>
        </w:numPr>
        <w:pStyle w:val="Compact"/>
      </w:pPr>
      <w:r>
        <w:t xml:space="preserve">Ocean Freight: (2 kg / 1000) tonnes * 15,000 km * 0.01 kg CO2e/tonne-km = 0.30 kg CO2e</w:t>
      </w:r>
    </w:p>
    <w:p>
      <w:pPr>
        <w:numPr>
          <w:ilvl w:val="0"/>
          <w:numId w:val="1016"/>
        </w:numPr>
        <w:pStyle w:val="Compact"/>
      </w:pPr>
      <w:r>
        <w:t xml:space="preserve">Road Freight (port to factory): (2 kg / 1000) tonnes * 500 km * 0.1 kg CO2e/tonne-km = 0.10 kg CO2e</w:t>
      </w:r>
    </w:p>
    <w:p>
      <w:pPr>
        <w:pStyle w:val="FirstParagraph"/>
      </w:pPr>
      <w:r>
        <w:rPr>
          <w:bCs/>
          <w:b/>
        </w:rPr>
        <w:t xml:space="preserve">Total Scope 3, Category 4 Emissions: 0.40 kg CO2e</w:t>
      </w:r>
    </w:p>
    <w:bookmarkEnd w:id="35"/>
    <w:bookmarkStart w:id="36" w:name="Xe6a609cc71639c4bb5b5bcd247c776c9d89fa33"/>
    <w:p>
      <w:pPr>
        <w:pStyle w:val="Heading4"/>
      </w:pPr>
      <w:r>
        <w:t xml:space="preserve">4.3.4. Category 9: Downstream Transportation and Distribution (Last-Mile Delivery)</w:t>
      </w:r>
    </w:p>
    <w:p>
      <w:pPr>
        <w:pStyle w:val="FirstParagraph"/>
      </w:pPr>
      <w:r>
        <w:t xml:space="preserve">Based on illustrative last-mile delivery data:</w:t>
      </w:r>
    </w:p>
    <w:p>
      <w:pPr>
        <w:numPr>
          <w:ilvl w:val="0"/>
          <w:numId w:val="1017"/>
        </w:numPr>
        <w:pStyle w:val="Compact"/>
      </w:pPr>
      <w:r>
        <w:t xml:space="preserve">Road Freight (factory to customer): (2 kg / 1000) tonnes * 100 km * 0.1 kg CO2e/tonne-km = 0.02 kg CO2e</w:t>
      </w:r>
    </w:p>
    <w:p>
      <w:pPr>
        <w:pStyle w:val="FirstParagraph"/>
      </w:pPr>
      <w:r>
        <w:rPr>
          <w:bCs/>
          <w:b/>
        </w:rPr>
        <w:t xml:space="preserve">Total Scope 3, Category 9 Emissions: 0.02 kg CO2e</w:t>
      </w:r>
    </w:p>
    <w:bookmarkEnd w:id="36"/>
    <w:bookmarkStart w:id="37" w:name="category-11-use-of-sold-products"/>
    <w:p>
      <w:pPr>
        <w:pStyle w:val="Heading4"/>
      </w:pPr>
      <w:r>
        <w:t xml:space="preserve">4.3.5. Category 11: Use of Sold Products</w:t>
      </w:r>
    </w:p>
    <w:p>
      <w:pPr>
        <w:pStyle w:val="FirstParagraph"/>
      </w:pPr>
      <w:r>
        <w:t xml:space="preserve">Based on Product Lifespan (wlhwykkhhl) and Energy Consumption in Use (kqnjqfotvq):</w:t>
      </w:r>
    </w:p>
    <w:p>
      <w:pPr>
        <w:numPr>
          <w:ilvl w:val="0"/>
          <w:numId w:val="1018"/>
        </w:numPr>
        <w:pStyle w:val="Compact"/>
      </w:pPr>
      <w:r>
        <w:t xml:space="preserve">Total energy consumption over lifespan: 50 kWh</w:t>
      </w:r>
    </w:p>
    <w:p>
      <w:pPr>
        <w:numPr>
          <w:ilvl w:val="0"/>
          <w:numId w:val="1018"/>
        </w:numPr>
        <w:pStyle w:val="Compact"/>
      </w:pPr>
      <w:r>
        <w:t xml:space="preserve">Emissions: 50 kWh * 0.58 kg CO2e/kWh (China grid) = 29.00 kg CO2e</w:t>
      </w:r>
    </w:p>
    <w:p>
      <w:pPr>
        <w:pStyle w:val="FirstParagraph"/>
      </w:pPr>
      <w:r>
        <w:rPr>
          <w:bCs/>
          <w:b/>
        </w:rPr>
        <w:t xml:space="preserve">Total Scope 3, Category 11 Emissions: 29.00 kg CO2e</w:t>
      </w:r>
    </w:p>
    <w:bookmarkEnd w:id="37"/>
    <w:bookmarkStart w:id="38" w:name="X9f66eef2700632e081dfe139021cb724ffcd2c5"/>
    <w:p>
      <w:pPr>
        <w:pStyle w:val="Heading4"/>
      </w:pPr>
      <w:r>
        <w:t xml:space="preserve">4.3.6. Category 12: End-of-Life Treatment of Sold Products</w:t>
      </w:r>
    </w:p>
    <w:p>
      <w:pPr>
        <w:pStyle w:val="FirstParagraph"/>
      </w:pPr>
      <w:r>
        <w:t xml:space="preserve">Based on Recyclability Percentage (izilpgqvtk) and Circular Programs (qgkktmfezz):</w:t>
      </w:r>
    </w:p>
    <w:p>
      <w:pPr>
        <w:numPr>
          <w:ilvl w:val="0"/>
          <w:numId w:val="1019"/>
        </w:numPr>
        <w:pStyle w:val="Compact"/>
      </w:pPr>
      <w:r>
        <w:t xml:space="preserve">Product Weight: 2 kg</w:t>
      </w:r>
    </w:p>
    <w:p>
      <w:pPr>
        <w:numPr>
          <w:ilvl w:val="0"/>
          <w:numId w:val="1019"/>
        </w:numPr>
        <w:pStyle w:val="Compact"/>
      </w:pPr>
      <w:r>
        <w:t xml:space="preserve">Disposed portion (20%): 0.4 kg * 0.3 kg CO2e/kg (illustrative disposal factor) = 0.12 kg CO2e</w:t>
      </w:r>
    </w:p>
    <w:p>
      <w:pPr>
        <w:numPr>
          <w:ilvl w:val="0"/>
          <w:numId w:val="1019"/>
        </w:numPr>
        <w:pStyle w:val="Compact"/>
      </w:pPr>
      <w:r>
        <w:t xml:space="preserve">Recycled portion (80%): 1.6 kg * (-1.5 kg CO2e/kg) (illustrative avoided emissions credit) = -2.40 kg CO2e</w:t>
      </w:r>
    </w:p>
    <w:p>
      <w:pPr>
        <w:pStyle w:val="FirstParagraph"/>
      </w:pPr>
      <w:r>
        <w:t xml:space="preserve">The established take-back program (qgkktmfezz) supports efficient material recovery, contributing to the avoided emissions from recycling.</w:t>
      </w:r>
    </w:p>
    <w:p>
      <w:pPr>
        <w:pStyle w:val="BodyText"/>
      </w:pPr>
      <w:r>
        <w:rPr>
          <w:bCs/>
          <w:b/>
        </w:rPr>
        <w:t xml:space="preserve">Total Scope 3, Category 12 Emissions: -2.28 kg CO2e</w:t>
      </w:r>
      <w:r>
        <w:t xml:space="preserve"> </w:t>
      </w:r>
      <w:r>
        <w:t xml:space="preserve">(Net credit due to recycling)</w:t>
      </w:r>
    </w:p>
    <w:bookmarkEnd w:id="38"/>
    <w:bookmarkEnd w:id="39"/>
    <w:bookmarkStart w:id="40"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Purchased Electricity, Heat, Steam (Manufacturing)</w:t>
            </w:r>
          </w:p>
        </w:tc>
        <w:tc>
          <w:tcPr/>
          <w:p>
            <w:pPr>
              <w:pStyle w:val="Compact"/>
              <w:jc w:val="left"/>
            </w:pPr>
            <w:r>
              <w:t xml:space="preserve">0.87</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 - rutqvxwh)</w:t>
            </w:r>
          </w:p>
        </w:tc>
        <w:tc>
          <w:tcPr/>
          <w:p>
            <w:pPr>
              <w:pStyle w:val="Compact"/>
              <w:jc w:val="left"/>
            </w:pPr>
            <w:r>
              <w:t xml:space="preserve">12.87</w:t>
            </w:r>
          </w:p>
        </w:tc>
      </w:tr>
      <w:tr>
        <w:tc>
          <w:tcPr>
            <w:gridSpan w:val="1"/>
            <w:vMerge w:val="continue"/>
          </w:tcPr>
          <w:p>
            <w:pPr/>
          </w:p>
        </w:tc>
        <w:tc>
          <w:tcPr/>
          <w:p>
            <w:pPr>
              <w:pStyle w:val="Compact"/>
              <w:jc w:val="left"/>
            </w:pPr>
            <w:r>
              <w:t xml:space="preserve">Category 3</w:t>
            </w:r>
          </w:p>
        </w:tc>
        <w:tc>
          <w:tcPr/>
          <w:p>
            <w:pPr>
              <w:pStyle w:val="Compact"/>
              <w:jc w:val="left"/>
            </w:pPr>
            <w:r>
              <w:t xml:space="preserve">Fuel- and Energy-Related Activities (Upstream of Scope 1 &amp; 2)</w:t>
            </w:r>
          </w:p>
        </w:tc>
        <w:tc>
          <w:tcPr/>
          <w:p>
            <w:pPr>
              <w:pStyle w:val="Compact"/>
              <w:jc w:val="left"/>
            </w:pPr>
            <w:r>
              <w:t xml:space="preserve">0.14</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0.40</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 (Last-Mile)</w:t>
            </w:r>
          </w:p>
        </w:tc>
        <w:tc>
          <w:tcPr/>
          <w:p>
            <w:pPr>
              <w:pStyle w:val="Compact"/>
              <w:jc w:val="left"/>
            </w:pPr>
            <w:r>
              <w:t xml:space="preserve">0.02</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 (Energy Consumption in Use)</w:t>
            </w:r>
          </w:p>
        </w:tc>
        <w:tc>
          <w:tcPr/>
          <w:p>
            <w:pPr>
              <w:pStyle w:val="Compact"/>
              <w:jc w:val="left"/>
            </w:pPr>
            <w:r>
              <w:t xml:space="preserve">29.00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-2.28</w:t>
            </w:r>
          </w:p>
        </w:tc>
      </w:tr>
      <w:tr>
        <w:tc>
          <w:tcPr>
            <w:gridSpan w:val="3"/>
          </w:tcPr>
          <w:p>
            <w:pPr>
              <w:pStyle w:val="Compact"/>
              <w:jc w:val="right"/>
            </w:pPr>
            <w:r>
              <w:t xml:space="preserve">Total Product Carbon Footprint (PCF) for huypxgjesd:</w:t>
            </w:r>
          </w:p>
        </w:tc>
        <w:tc>
          <w:tcPr/>
          <w:p>
            <w:pPr>
              <w:pStyle w:val="Compact"/>
              <w:jc w:val="left"/>
            </w:pPr>
            <w:r>
              <w:t xml:space="preserve">41.02 kg CO2e</w:t>
            </w:r>
          </w:p>
        </w:tc>
      </w:tr>
    </w:tbl>
    <w:p>
      <w:r>
        <w:pict>
          <v:rect style="width:0;height:1.5pt" o:hralign="center" o:hrstd="t" o:hr="t"/>
        </w:pict>
      </w:r>
    </w:p>
    <w:bookmarkEnd w:id="40"/>
    <w:bookmarkEnd w:id="41"/>
    <w:bookmarkStart w:id="45" w:name="review-and-report"/>
    <w:p>
      <w:pPr>
        <w:pStyle w:val="Heading2"/>
      </w:pPr>
      <w:r>
        <w:t xml:space="preserve">5. Review and Report</w:t>
      </w:r>
    </w:p>
    <w:bookmarkStart w:id="42" w:name="emission-hotspots"/>
    <w:p>
      <w:pPr>
        <w:pStyle w:val="Heading3"/>
      </w:pPr>
      <w:r>
        <w:t xml:space="preserve">5.1. Emission Hotspots</w:t>
      </w:r>
    </w:p>
    <w:p>
      <w:pPr>
        <w:pStyle w:val="FirstParagraph"/>
      </w:pPr>
      <w:r>
        <w:t xml:space="preserve">The analysis reveals the following major emission hotspots for huypxgjesd:</w:t>
      </w:r>
    </w:p>
    <w:p>
      <w:pPr>
        <w:numPr>
          <w:ilvl w:val="0"/>
          <w:numId w:val="1020"/>
        </w:numPr>
        <w:pStyle w:val="Compact"/>
      </w:pPr>
      <w:r>
        <w:rPr>
          <w:bCs/>
          <w:b/>
        </w:rPr>
        <w:t xml:space="preserve">Use Phase (Scope 3, Category 11):</w:t>
      </w:r>
      <w:r>
        <w:t xml:space="preserve"> </w:t>
      </w:r>
      <w:r>
        <w:t xml:space="preserve">The most significant contributor, accounting for approximately 70.7% of the total PCF (29.00 kg CO2e). This highlights the product\'s energy consumption during its lifespan as a critical area for reduction.</w:t>
      </w:r>
    </w:p>
    <w:p>
      <w:pPr>
        <w:numPr>
          <w:ilvl w:val="0"/>
          <w:numId w:val="1020"/>
        </w:numPr>
        <w:pStyle w:val="Compact"/>
      </w:pPr>
      <w:r>
        <w:rPr>
          <w:bCs/>
          <w:b/>
        </w:rPr>
        <w:t xml:space="preserve">Material Acquisition (Scope 3, Category 1):</w:t>
      </w:r>
      <w:r>
        <w:t xml:space="preserve"> </w:t>
      </w:r>
      <w:r>
        <w:t xml:space="preserve">Materials for rutqvxwh contribute approximately 31.4% (12.87 kg CO2e) of the total footprint, indicating that material selection and design for lower-impact alternatives are crucial.</w:t>
      </w:r>
    </w:p>
    <w:p>
      <w:pPr>
        <w:numPr>
          <w:ilvl w:val="0"/>
          <w:numId w:val="1020"/>
        </w:numPr>
        <w:pStyle w:val="Compact"/>
      </w:pPr>
      <w:r>
        <w:rPr>
          <w:bCs/>
          <w:b/>
        </w:rPr>
        <w:t xml:space="preserve">End-of-Life (Scope 3, Category 12):</w:t>
      </w:r>
      <w:r>
        <w:t xml:space="preserve"> </w:t>
      </w:r>
      <w:r>
        <w:t xml:space="preserve">The strong recyclability percentage (izilpgqvtk: 80%) and circular programs (qgkktmfezz) result in a net carbon credit (-2.28 kg CO2e), effectively reducing the overall PCF. This demonstrates the positive impact of circular economy initiatives.</w:t>
      </w:r>
    </w:p>
    <w:p>
      <w:pPr>
        <w:numPr>
          <w:ilvl w:val="0"/>
          <w:numId w:val="1020"/>
        </w:numPr>
        <w:pStyle w:val="Compact"/>
      </w:pPr>
      <w:r>
        <w:rPr>
          <w:bCs/>
          <w:b/>
        </w:rPr>
        <w:t xml:space="preserve">Purchased Electricity (Scope 2):</w:t>
      </w:r>
      <w:r>
        <w:t xml:space="preserve"> </w:t>
      </w:r>
      <w:r>
        <w:t xml:space="preserve">While smaller than the use phase or materials, factory electricity accounts for 2.1% (0.87 kg CO2e), and further integration of renewable energy sources beyond vrkioshkjq (70% Renewable) could yield additional reductions.</w:t>
      </w:r>
    </w:p>
    <w:bookmarkEnd w:id="42"/>
    <w:bookmarkStart w:id="43" w:name="data-reliability-and-limitations"/>
    <w:p>
      <w:pPr>
        <w:pStyle w:val="Heading3"/>
      </w:pPr>
      <w:r>
        <w:t xml:space="preserve">5.2. Data Reliability and Limitations</w:t>
      </w:r>
    </w:p>
    <w:p>
      <w:pPr>
        <w:pStyle w:val="FirstParagraph"/>
      </w:pPr>
      <w:r>
        <w:t xml:space="preserve">This report relies on a combination of primary (parameter-defined) and secondary (industry-average) data. While the specific parameters provided (e.g., rutqvxwh, wzrjffxtjy, eyhvxpruxm) guide the analysis, the numerical values for calculations are illustrative examples. Therefore, the presented results should be considered indicative rather than absolute, pending the collection of verified, product-specific primary data for all activities and emission factors. The chosen emission factors are based on recognized databases (e.g., principles aligned with Ecoinvent/DEFRA) and GHG Protocol guidance to ensure consistency and comparability.</w:t>
      </w:r>
    </w:p>
    <w:bookmarkEnd w:id="43"/>
    <w:bookmarkStart w:id="44" w:name="recommendations-for-reduction"/>
    <w:p>
      <w:pPr>
        <w:pStyle w:val="Heading3"/>
      </w:pPr>
      <w:r>
        <w:t xml:space="preserve">5.3. Recommendations for Reduction</w:t>
      </w:r>
    </w:p>
    <w:p>
      <w:pPr>
        <w:pStyle w:val="FirstParagraph"/>
      </w:pPr>
      <w:r>
        <w:t xml:space="preserve">Based on the identified hotspots, pfoszipfod should focus on:</w:t>
      </w:r>
    </w:p>
    <w:p>
      <w:pPr>
        <w:numPr>
          <w:ilvl w:val="0"/>
          <w:numId w:val="1021"/>
        </w:numPr>
        <w:pStyle w:val="Compact"/>
      </w:pPr>
      <w:r>
        <w:rPr>
          <w:bCs/>
          <w:b/>
        </w:rPr>
        <w:t xml:space="preserve">Optimizing Use Phase:</w:t>
      </w:r>
      <w:r>
        <w:t xml:space="preserve"> </w:t>
      </w:r>
      <w:r>
        <w:t xml:space="preserve">Invest in energy-efficient design for huypxgjesd to reduce energy consumption during its lifespan (kqnjqfotvq). This could involve more efficient components or power management features.</w:t>
      </w:r>
    </w:p>
    <w:p>
      <w:pPr>
        <w:numPr>
          <w:ilvl w:val="0"/>
          <w:numId w:val="1021"/>
        </w:numPr>
        <w:pStyle w:val="Compact"/>
      </w:pPr>
      <w:r>
        <w:rPr>
          <w:bCs/>
          <w:b/>
        </w:rPr>
        <w:t xml:space="preserve">Sustainable Material Sourcing:</w:t>
      </w:r>
      <w:r>
        <w:t xml:space="preserve"> </w:t>
      </w:r>
      <w:r>
        <w:t xml:space="preserve">Explore lower-carbon alternatives for the components identified in rutqvxwh, prioritizing materials with lower embedded emissions or higher recycled content.</w:t>
      </w:r>
    </w:p>
    <w:p>
      <w:pPr>
        <w:numPr>
          <w:ilvl w:val="0"/>
          <w:numId w:val="1021"/>
        </w:numPr>
        <w:pStyle w:val="Compact"/>
      </w:pPr>
      <w:r>
        <w:rPr>
          <w:bCs/>
          <w:b/>
        </w:rPr>
        <w:t xml:space="preserve">Enhancing Renewable Energy:</w:t>
      </w:r>
      <w:r>
        <w:t xml:space="preserve"> </w:t>
      </w:r>
      <w:r>
        <w:t xml:space="preserve">Increase renewable energy procurement beyond vrkioshkjq (70%) at the production facility to further reduce Scope 2 emissions.</w:t>
      </w:r>
    </w:p>
    <w:p>
      <w:pPr>
        <w:numPr>
          <w:ilvl w:val="0"/>
          <w:numId w:val="1021"/>
        </w:numPr>
        <w:pStyle w:val="Compact"/>
      </w:pPr>
      <w:r>
        <w:rPr>
          <w:bCs/>
          <w:b/>
        </w:rPr>
        <w:t xml:space="preserve">Strengthening Circularity:</w:t>
      </w:r>
      <w:r>
        <w:t xml:space="preserve"> </w:t>
      </w:r>
      <w:r>
        <w:t xml:space="preserve">Continue to invest in and expand circular/take-back programs (qgkktmfezz) to maximize the recyclability (izilpgqvtk) and reuse of product components, further enhancing the End-of-Life credit.</w:t>
      </w:r>
    </w:p>
    <w:p>
      <w:pPr>
        <w:pStyle w:val="FirstParagraph"/>
      </w:pPr>
      <w:r>
        <w:t xml:space="preserve">Confidential - Internal Use Only | 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huypxgjesd</dc:title>
  <dc:creator/>
  <dc:description>Detailed Product Carbon Footprint (PCF) analysis report for huypxgjesd, conducted by uhkujpqeif for pfoszipfod, adhering to GHG Protocol standards and 2026 LSR updates.</dc:description>
  <dc:language>en</dc:language>
  <cp:keywords/>
  <dcterms:created xsi:type="dcterms:W3CDTF">2026-07-15T01:34:12Z</dcterms:created>
  <dcterms:modified xsi:type="dcterms:W3CDTF">2026-07-15T01:34:12Z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