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humtdozumh</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product-humtdozumh"/>
    <w:p>
      <w:pPr>
        <w:pStyle w:val="Heading2"/>
      </w:pPr>
      <w:r>
        <w:t xml:space="preserve">Product: humtdozumh</w:t>
      </w:r>
    </w:p>
    <w:p>
      <w:pPr>
        <w:pStyle w:val="FirstParagraph"/>
      </w:pPr>
      <w:r>
        <w:rPr>
          <w:bCs/>
          <w:b/>
        </w:rPr>
        <w:t xml:space="preserve">Company Name:</w:t>
      </w:r>
      <w:r>
        <w:t xml:space="preserve"> </w:t>
      </w:r>
      <w:r>
        <w:t xml:space="preserve">kmyimxyisx</w:t>
      </w:r>
    </w:p>
    <w:p>
      <w:pPr>
        <w:pStyle w:val="BodyText"/>
      </w:pPr>
      <w:r>
        <w:rPr>
          <w:bCs/>
          <w:b/>
        </w:rPr>
        <w:t xml:space="preserve">Senior Sustainability Consultant:</w:t>
      </w:r>
      <w:r>
        <w:t xml:space="preserve"> </w:t>
      </w:r>
      <w:r>
        <w:t xml:space="preserve">opuqqljjqi</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at the time of publication. While every effort has been made to ensure accuracy, the actual environmental impacts may vary based on real-world conditions, specific supplier data, and evolving methodologies. This analysis serves as a strategic tool for understanding and mitigating the product\'s carbon footprint.</w:t>
      </w:r>
    </w:p>
    <w:bookmarkEnd w:id="20"/>
    <w:bookmarkEnd w:id="21"/>
    <w:bookmarkStart w:id="47" w:name="X3e6be2306495690e2fa553b1b8ebd204c571ebe"/>
    <w:p>
      <w:pPr>
        <w:pStyle w:val="Heading1"/>
      </w:pPr>
      <w:r>
        <w:t xml:space="preserve">Product Carbon Footprint (PCF) Analysis Report: humtdozumh</w:t>
      </w:r>
    </w:p>
    <w:p>
      <w:pPr>
        <w:pStyle w:val="FirstParagraph"/>
      </w:pPr>
      <w:r>
        <w:rPr>
          <w:bCs/>
          <w:b/>
        </w:rPr>
        <w:t xml:space="preserve">Generated Date:</w:t>
      </w:r>
      <w:r>
        <w:t xml:space="preserve"> </w:t>
      </w:r>
      <w:r>
        <w:t xml:space="preserve">May 28,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provides a high-detail Product Carbon Footprint (PCF) analysis for the product "humtdozumh," manufactured by kmyimxyisx. The assessment, conducted by Senior Sustainability Consultant opuqqljjqi, adheres to the Greenhouse Gas (GHG) Protocol, including the latest 2026 Land Sector and Removals (LSR) Standard updates and strict Scope 3 compliance requirements. The analysis covers the entire product lifecycle from raw material extraction to end-of-life, with a primary production focus in China and a supply chain orientation towards Europe. Key findings highlight emission hotspots across material acquisition, manufacturing, transportation, use, and end-of-life phases, offering a comprehensive basis for kmyimxyisx\'s sustainability strategy.</w:t>
      </w:r>
    </w:p>
    <w:bookmarkEnd w:id="22"/>
    <w:bookmarkStart w:id="30" w:name="methodology-and-scope-definition"/>
    <w:p>
      <w:pPr>
        <w:pStyle w:val="Heading2"/>
      </w:pPr>
      <w:r>
        <w:t xml:space="preserve">1. Methodology and Scope Definition</w:t>
      </w:r>
    </w:p>
    <w:p>
      <w:pPr>
        <w:pStyle w:val="FirstParagraph"/>
      </w:pPr>
      <w:r>
        <w:t xml:space="preserve">The Product Carbon Footprint (PCF) analysis for humtdozumh follows the five-step methodology prescribed by the GHG Protocol. This approach ensures a systematic and comprehensive assessment of greenhouse gas emissions throughout the product\'s lifecycle.</w:t>
      </w:r>
    </w:p>
    <w:bookmarkStart w:id="23" w:name="accounting-standard"/>
    <w:p>
      <w:pPr>
        <w:pStyle w:val="Heading3"/>
      </w:pPr>
      <w:r>
        <w:t xml:space="preserve">1.1. Accounting Standard</w:t>
      </w:r>
    </w:p>
    <w:p>
      <w:pPr>
        <w:pStyle w:val="FirstParagraph"/>
      </w:pPr>
      <w:r>
        <w:t xml:space="preserve">The analysis strictly adheres to the GHG Protocol\'s Product Life Cycle Accounting and Reporting Standard. This standard provides a robust framework for quantifying and reporting the greenhouse gas emissions associated with a product over its entire life cycle. Emissions are categorized into Scope 1 (direct emissions from owned or controlled sources), Scope 2 (indirect emissions from the generation of purchased energy), and Scope 3 (all other indirect emissions that occur in the value chain, both upstream and downstream).</w:t>
      </w:r>
    </w:p>
    <w:bookmarkEnd w:id="23"/>
    <w:bookmarkStart w:id="24"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 of humtdozumh</w:t>
      </w:r>
      <w:r>
        <w:t xml:space="preserve">.</w:t>
      </w:r>
    </w:p>
    <w:p>
      <w:pPr>
        <w:pStyle w:val="BodyText"/>
      </w:pPr>
      <w:r>
        <w:t xml:space="preserve">This unit serves as the reference basis to quantify and compare the environmental impacts consistently throughout the lifecycle stages.</w:t>
      </w:r>
    </w:p>
    <w:bookmarkEnd w:id="24"/>
    <w:bookmarkStart w:id="25" w:name="system-boundary"/>
    <w:p>
      <w:pPr>
        <w:pStyle w:val="Heading3"/>
      </w:pPr>
      <w:r>
        <w:t xml:space="preserve">1.3. System Boundary</w:t>
      </w:r>
    </w:p>
    <w:p>
      <w:pPr>
        <w:pStyle w:val="FirstParagraph"/>
      </w:pPr>
      <w:r>
        <w:t xml:space="preserve">The system boundary for this PCF is defined as "cradle-to-grave." While the specified "factory_gate" relates to the immediate production phase boundary, the overall analysis extends to cover all stages of the product\'s life cycle, including:</w:t>
      </w:r>
    </w:p>
    <w:p>
      <w:pPr>
        <w:numPr>
          <w:ilvl w:val="0"/>
          <w:numId w:val="1001"/>
        </w:numPr>
        <w:pStyle w:val="Compact"/>
      </w:pPr>
      <w:r>
        <w:rPr>
          <w:bCs/>
          <w:b/>
        </w:rPr>
        <w:t xml:space="preserve">Upstream (Scope 3, Category 1-8):</w:t>
      </w:r>
      <w:r>
        <w:t xml:space="preserve"> </w:t>
      </w:r>
      <w:r>
        <w:t xml:space="preserve">Raw material extraction, processing, and transportation to the manufacturing facility.</w:t>
      </w:r>
    </w:p>
    <w:p>
      <w:pPr>
        <w:numPr>
          <w:ilvl w:val="0"/>
          <w:numId w:val="1001"/>
        </w:numPr>
        <w:pStyle w:val="Compact"/>
      </w:pPr>
      <w:r>
        <w:rPr>
          <w:bCs/>
          <w:b/>
        </w:rPr>
        <w:t xml:space="preserve">Core (Scope 1 &amp; 2):</w:t>
      </w:r>
      <w:r>
        <w:t xml:space="preserve"> </w:t>
      </w:r>
      <w:r>
        <w:t xml:space="preserve">Manufacturing processes at the kmyimxyisx facility (China), including direct emissions (Scope 1) and purchased electricity (Scope 2).</w:t>
      </w:r>
    </w:p>
    <w:p>
      <w:pPr>
        <w:numPr>
          <w:ilvl w:val="0"/>
          <w:numId w:val="1001"/>
        </w:numPr>
        <w:pStyle w:val="Compact"/>
      </w:pPr>
      <w:r>
        <w:rPr>
          <w:bCs/>
          <w:b/>
        </w:rPr>
        <w:t xml:space="preserve">Downstream (Scope 3, Category 9-15):</w:t>
      </w:r>
      <w:r>
        <w:t xml:space="preserve"> </w:t>
      </w:r>
      <w:r>
        <w:t xml:space="preserve">Transportation from the factory to the customer, product use phase, and end-of-life treatment.</w:t>
      </w:r>
    </w:p>
    <w:bookmarkEnd w:id="25"/>
    <w:bookmarkStart w:id="26" w:name="geographic-scope"/>
    <w:p>
      <w:pPr>
        <w:pStyle w:val="Heading3"/>
      </w:pPr>
      <w:r>
        <w:t xml:space="preserve">1.4.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significant transport routes and potentially market use in Europe).</w:t>
      </w:r>
    </w:p>
    <w:bookmarkEnd w:id="26"/>
    <w:bookmarkStart w:id="27" w:name="allocation"/>
    <w:p>
      <w:pPr>
        <w:pStyle w:val="Heading3"/>
      </w:pPr>
      <w:r>
        <w:t xml:space="preserve">1.5. Allocation</w:t>
      </w:r>
    </w:p>
    <w:p>
      <w:pPr>
        <w:pStyle w:val="FirstParagraph"/>
      </w:pPr>
      <w:r>
        <w:t xml:space="preserve">Where co-products or waste materials are involved, allocation rules are applied consistently with GHG Protocol guidance. The "mass allocation" approach is primarily used for co-products, while for recycled content, the "cut-off" approach is adopted (where the burden of virgin material production is assigned to the primary user, and recycling processes bear the burden from collection to the point of substitution).</w:t>
      </w:r>
    </w:p>
    <w:bookmarkEnd w:id="27"/>
    <w:bookmarkStart w:id="28" w:name="lsr-standard-update-compliance"/>
    <w:p>
      <w:pPr>
        <w:pStyle w:val="Heading3"/>
      </w:pPr>
      <w:r>
        <w:t xml:space="preserve">1.6. 2026 LSR Standard Update Compliance</w:t>
      </w:r>
    </w:p>
    <w:p>
      <w:pPr>
        <w:pStyle w:val="FirstParagraph"/>
      </w:pPr>
      <w:r>
        <w:t xml:space="preserve">This report applies the Land Sector and Removals (LSR) Standard, released by GHG Protocol on January 30, 2026, and effective January 1, 2027. The LSR Standard provides methods to quantify, report, and track land emissions, CO₂ removals, and other key metrics, including technological CO₂ removals. While humtdozumh itself may not have direct land-use change impacts, upstream agricultural or forestry-derived materials in its value chain are assessed against this standard. The forthcoming Land Sector and Removals Guidance (scheduled for Q2 2026) will offer further practical implementation details.</w:t>
      </w:r>
    </w:p>
    <w:bookmarkEnd w:id="28"/>
    <w:bookmarkStart w:id="29" w:name="scope-3-compliance"/>
    <w:p>
      <w:pPr>
        <w:pStyle w:val="Heading3"/>
      </w:pPr>
      <w:r>
        <w:t xml:space="preserve">1.7. Scope 3 Compliance</w:t>
      </w:r>
    </w:p>
    <w:p>
      <w:pPr>
        <w:pStyle w:val="FirstParagraph"/>
      </w:pPr>
      <w:r>
        <w:t xml:space="preserve">In line with the 2026 requirements, this analysis ensures at least 95% coverage for Scope 3 reporting. All material Scope 3 categories are included, and any exclusions are explicitly quantified, justified, and do not exceed 5% of the total required Scope 3 emissions. Data disaggregation by source type (primary vs. secondary) is also considered to enhance transparency and data quality.</w:t>
      </w:r>
    </w:p>
    <w:bookmarkEnd w:id="29"/>
    <w:bookmarkEnd w:id="30"/>
    <w:bookmarkStart w:id="36" w:name="lifecycle-mapping-and-data-collection"/>
    <w:p>
      <w:pPr>
        <w:pStyle w:val="Heading2"/>
      </w:pPr>
      <w:r>
        <w:t xml:space="preserve">2. Lifecycle Mapping and Data Collection</w:t>
      </w:r>
    </w:p>
    <w:p>
      <w:pPr>
        <w:pStyle w:val="FirstParagraph"/>
      </w:pPr>
      <w:r>
        <w:t xml:space="preserve">This section details the lifecycle stages of humtdozumh and the data inputs collected for the inventory. Emissions are broken down by lifecycle stage and categorized into Scope 1, 2, and 3 as per the GHG Protocol.</w:t>
      </w:r>
    </w:p>
    <w:bookmarkStart w:id="31" w:name="Xc2f49a8588930b0309f642cabf205a12105c602"/>
    <w:p>
      <w:pPr>
        <w:pStyle w:val="Heading3"/>
      </w:pPr>
      <w:r>
        <w:t xml:space="preserve">2.1. Materials Acquisition &amp; Pre-processing (Upstream Scope 3, Category 1)</w:t>
      </w:r>
    </w:p>
    <w:p>
      <w:pPr>
        <w:pStyle w:val="FirstParagraph"/>
      </w:pPr>
      <w:r>
        <w:t xml:space="preserve">The detailed Bill of Materials (BOM) for humtdozumh is crucial for high-accuracy material impact calculation. The provided BOM (pqmzsryj) is broken down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bl>
    <w:p>
      <w:pPr>
        <w:pStyle w:val="BodyText"/>
      </w:pPr>
      <w:r>
        <w:rPr>
          <w:bCs/>
          <w:b/>
        </w:rPr>
        <w:t xml:space="preserve">Total Material Carbon Footprint:</w:t>
      </w:r>
      <w:r>
        <w:t xml:space="preserve"> </w:t>
      </w:r>
      <w:r>
        <w:t xml:space="preserve">4.35 kg CO2e</w:t>
      </w:r>
    </w:p>
    <w:bookmarkEnd w:id="31"/>
    <w:bookmarkStart w:id="32" w:name="manufacturing-core---scope-1-2"/>
    <w:p>
      <w:pPr>
        <w:pStyle w:val="Heading3"/>
      </w:pPr>
      <w:r>
        <w:t xml:space="preserve">2.2. Manufacturing (Core - Scope 1 &amp; 2)</w:t>
      </w:r>
    </w:p>
    <w:p>
      <w:pPr>
        <w:pStyle w:val="FirstParagraph"/>
      </w:pPr>
      <w:r>
        <w:t xml:space="preserve">The production of humtdozumh occurs in China. The energy inputs for the production phase are customized based on the provided parameters.</w:t>
      </w:r>
    </w:p>
    <w:p>
      <w:pPr>
        <w:numPr>
          <w:ilvl w:val="0"/>
          <w:numId w:val="1003"/>
        </w:numPr>
        <w:pStyle w:val="Compact"/>
      </w:pPr>
      <w:r>
        <w:rPr>
          <w:bCs/>
          <w:b/>
        </w:rPr>
        <w:t xml:space="preserve">Renewable Energy Usage:</w:t>
      </w:r>
      <w:r>
        <w:t xml:space="preserve"> </w:t>
      </w:r>
      <w:r>
        <w:t xml:space="preserve">dyrdmgjrzo (e.g., 60%)</w:t>
      </w:r>
    </w:p>
    <w:p>
      <w:pPr>
        <w:numPr>
          <w:ilvl w:val="0"/>
          <w:numId w:val="1003"/>
        </w:numPr>
        <w:pStyle w:val="Compact"/>
      </w:pPr>
      <w:r>
        <w:rPr>
          <w:bCs/>
          <w:b/>
        </w:rPr>
        <w:t xml:space="preserve">Energy Intensity (kWh/unit):</w:t>
      </w:r>
      <w:r>
        <w:t xml:space="preserve"> </w:t>
      </w:r>
      <w:r>
        <w:t xml:space="preserve">jywqnngnlq (e.g., 20 kWh/unit)</w:t>
      </w:r>
    </w:p>
    <w:p>
      <w:pPr>
        <w:numPr>
          <w:ilvl w:val="0"/>
          <w:numId w:val="1003"/>
        </w:numPr>
        <w:pStyle w:val="Compact"/>
      </w:pPr>
      <w:r>
        <w:rPr>
          <w:bCs/>
          <w:b/>
        </w:rPr>
        <w:t xml:space="preserve">Total Electricity Consumption:</w:t>
      </w:r>
      <w:r>
        <w:t xml:space="preserve"> </w:t>
      </w:r>
      <w:r>
        <w:t xml:space="preserve">20 kWh/unit</w:t>
      </w:r>
    </w:p>
    <w:p>
      <w:pPr>
        <w:numPr>
          <w:ilvl w:val="0"/>
          <w:numId w:val="1003"/>
        </w:numPr>
        <w:pStyle w:val="Compact"/>
      </w:pPr>
      <w:r>
        <w:rPr>
          <w:bCs/>
          <w:b/>
        </w:rPr>
        <w:t xml:space="preserve">Renewable Electricity:</w:t>
      </w:r>
      <w:r>
        <w:t xml:space="preserve"> </w:t>
      </w:r>
      <w:r>
        <w:t xml:space="preserve">60% of 20 kWh = 12 kWh</w:t>
      </w:r>
    </w:p>
    <w:p>
      <w:pPr>
        <w:numPr>
          <w:ilvl w:val="0"/>
          <w:numId w:val="1003"/>
        </w:numPr>
        <w:pStyle w:val="Compact"/>
      </w:pPr>
      <w:r>
        <w:rPr>
          <w:bCs/>
          <w:b/>
        </w:rPr>
        <w:t xml:space="preserve">Non-Renewable Electricity:</w:t>
      </w:r>
      <w:r>
        <w:t xml:space="preserve"> </w:t>
      </w:r>
      <w:r>
        <w:t xml:space="preserve">40% of 20 kWh = 8 kWh</w:t>
      </w:r>
    </w:p>
    <w:p>
      <w:pPr>
        <w:pStyle w:val="FirstParagraph"/>
      </w:pPr>
      <w:r>
        <w:rPr>
          <w:bCs/>
          <w:b/>
        </w:rPr>
        <w:t xml:space="preserve">Assumed Emission Factor for China Grid Mix (non-renewable portion):</w:t>
      </w:r>
      <w:r>
        <w:t xml:space="preserve"> </w:t>
      </w:r>
      <w:r>
        <w:t xml:space="preserve">Approximately 0.6205 kg CO2e/kWh (based on China\'s national average for 2023, per MEE, or ecoinvent data for specific regions).</w:t>
      </w:r>
    </w:p>
    <w:p>
      <w:pPr>
        <w:pStyle w:val="BodyText"/>
      </w:pPr>
      <w:r>
        <w:rPr>
          <w:bCs/>
          <w:b/>
        </w:rPr>
        <w:t xml:space="preserve">Assumed Emission Factor for Renewable Electricity:</w:t>
      </w:r>
      <w:r>
        <w:t xml:space="preserve"> </w:t>
      </w:r>
      <w:r>
        <w:t xml:space="preserve">0 kg CO2e/kWh (assuming certified renewable energy with zero upstream emissions allocated to the user).</w:t>
      </w:r>
    </w:p>
    <w:bookmarkEnd w:id="32"/>
    <w:bookmarkStart w:id="33" w:name="X78108626c2824278d4cbba88352b352f17abf19"/>
    <w:p>
      <w:pPr>
        <w:pStyle w:val="Heading3"/>
      </w:pPr>
      <w:r>
        <w:t xml:space="preserve">2.3. Transportation &amp; Distribution (Upstream/Downstream Scope 3, Category 4 &amp; 9)</w:t>
      </w:r>
    </w:p>
    <w:p>
      <w:pPr>
        <w:pStyle w:val="FirstParagraph"/>
      </w:pPr>
      <w:r>
        <w:t xml:space="preserve">Logistics data incorporates both upstream (raw materials to factory) and downstream (factory to customer) transport.</w:t>
      </w:r>
    </w:p>
    <w:p>
      <w:pPr>
        <w:numPr>
          <w:ilvl w:val="0"/>
          <w:numId w:val="1004"/>
        </w:numPr>
        <w:pStyle w:val="Compact"/>
      </w:pPr>
      <w:r>
        <w:rPr>
          <w:bCs/>
          <w:b/>
        </w:rPr>
        <w:t xml:space="preserve">Transport Mode:</w:t>
      </w:r>
      <w:r>
        <w:t xml:space="preserve"> </w:t>
      </w:r>
      <w:r>
        <w:t xml:space="preserve">Select Mode (Assumed: Sea Freight from China to Europe, followed by Road Freight within Europe).</w:t>
      </w:r>
    </w:p>
    <w:p>
      <w:pPr>
        <w:numPr>
          <w:ilvl w:val="0"/>
          <w:numId w:val="1004"/>
        </w:numPr>
        <w:pStyle w:val="Compact"/>
      </w:pPr>
      <w:r>
        <w:rPr>
          <w:bCs/>
          <w:b/>
        </w:rPr>
        <w:t xml:space="preserve">Transport Distance:</w:t>
      </w:r>
      <w:r>
        <w:t xml:space="preserve"> </w:t>
      </w:r>
      <w:r>
        <w:t xml:space="preserve">ievfzxyvsj (Assumed: 15,000 km Sea Freight + 500 km Road Freight)</w:t>
      </w:r>
    </w:p>
    <w:p>
      <w:pPr>
        <w:numPr>
          <w:ilvl w:val="0"/>
          <w:numId w:val="1004"/>
        </w:numPr>
        <w:pStyle w:val="Compact"/>
      </w:pPr>
      <w:r>
        <w:rPr>
          <w:bCs/>
          <w:b/>
        </w:rPr>
        <w:t xml:space="preserve">Last-Mile Delivery Channel:</w:t>
      </w:r>
      <w:r>
        <w:t xml:space="preserve"> </w:t>
      </w:r>
      <w:r>
        <w:t xml:space="preserve">Delivery Type (Assumed: Road Van)</w:t>
      </w:r>
    </w:p>
    <w:p>
      <w:pPr>
        <w:numPr>
          <w:ilvl w:val="0"/>
          <w:numId w:val="1004"/>
        </w:numPr>
        <w:pStyle w:val="Compact"/>
      </w:pPr>
      <w:r>
        <w:rPr>
          <w:bCs/>
          <w:b/>
        </w:rPr>
        <w:t xml:space="preserve">Product Weight for Transport (approx.):</w:t>
      </w:r>
      <w:r>
        <w:t xml:space="preserve"> </w:t>
      </w:r>
      <w:r>
        <w:t xml:space="preserve">(0.5 kg + 0.1 kg + 0.2 kg) = 0.8 kg</w:t>
      </w:r>
    </w:p>
    <w:p>
      <w:pPr>
        <w:pStyle w:val="FirstParagraph"/>
      </w:pPr>
      <w:r>
        <w:rPr>
          <w:bCs/>
          <w:b/>
        </w:rPr>
        <w:t xml:space="preserve">Assumed Emission Factors:</w:t>
      </w:r>
      <w:r>
        <w:t xml:space="preserve"> </w:t>
      </w:r>
      <w:r>
        <w:t xml:space="preserve">(Based on Ecoinvent/DEFRA data, per tonne-kilometer or per km)</w:t>
      </w:r>
    </w:p>
    <w:p>
      <w:pPr>
        <w:numPr>
          <w:ilvl w:val="0"/>
          <w:numId w:val="1005"/>
        </w:numPr>
        <w:pStyle w:val="Compact"/>
      </w:pPr>
      <w:r>
        <w:rPr>
          <w:bCs/>
          <w:b/>
        </w:rPr>
        <w:t xml:space="preserve">Sea Freight (Container Ship):</w:t>
      </w:r>
      <w:r>
        <w:t xml:space="preserve"> </w:t>
      </w:r>
      <w:r>
        <w:t xml:space="preserve">~0.005 kg CO2e/tonne-km.</w:t>
      </w:r>
    </w:p>
    <w:p>
      <w:pPr>
        <w:numPr>
          <w:ilvl w:val="0"/>
          <w:numId w:val="1005"/>
        </w:numPr>
        <w:pStyle w:val="Compact"/>
      </w:pPr>
      <w:r>
        <w:rPr>
          <w:bCs/>
          <w:b/>
        </w:rPr>
        <w:t xml:space="preserve">Road Freight (Heavy-duty Lorry, Europe):</w:t>
      </w:r>
      <w:r>
        <w:t xml:space="preserve"> </w:t>
      </w:r>
      <w:r>
        <w:t xml:space="preserve">~0.09 kg CO2e/tonne-km.</w:t>
      </w:r>
    </w:p>
    <w:p>
      <w:pPr>
        <w:numPr>
          <w:ilvl w:val="0"/>
          <w:numId w:val="1005"/>
        </w:numPr>
        <w:pStyle w:val="Compact"/>
      </w:pPr>
      <w:r>
        <w:rPr>
          <w:bCs/>
          <w:b/>
        </w:rPr>
        <w:t xml:space="preserve">Last-Mile Road Van:</w:t>
      </w:r>
      <w:r>
        <w:t xml:space="preserve"> </w:t>
      </w:r>
      <w:r>
        <w:t xml:space="preserve">~0.2 kg CO2e/km (assuming 1 delivery trip per unit over a short distance, e.g., 50 km).</w:t>
      </w:r>
    </w:p>
    <w:bookmarkEnd w:id="33"/>
    <w:bookmarkStart w:id="34" w:name="use-phase-downstream-scope-3-category-11"/>
    <w:p>
      <w:pPr>
        <w:pStyle w:val="Heading3"/>
      </w:pPr>
      <w:r>
        <w:t xml:space="preserve">2.4. Use Phase (Downstream Scope 3, Category 11)</w:t>
      </w:r>
    </w:p>
    <w:p>
      <w:pPr>
        <w:pStyle w:val="FirstParagraph"/>
      </w:pPr>
      <w:r>
        <w:t xml:space="preserve">The use phase calculation considers product durability and energy consumption by the end-user.</w:t>
      </w:r>
    </w:p>
    <w:p>
      <w:pPr>
        <w:numPr>
          <w:ilvl w:val="0"/>
          <w:numId w:val="1006"/>
        </w:numPr>
        <w:pStyle w:val="Compact"/>
      </w:pPr>
      <w:r>
        <w:rPr>
          <w:bCs/>
          <w:b/>
        </w:rPr>
        <w:t xml:space="preserve">Product Lifespan:</w:t>
      </w:r>
      <w:r>
        <w:t xml:space="preserve"> </w:t>
      </w:r>
      <w:r>
        <w:t xml:space="preserve">pouersdglt (e.g., 5 years)</w:t>
      </w:r>
    </w:p>
    <w:p>
      <w:pPr>
        <w:numPr>
          <w:ilvl w:val="0"/>
          <w:numId w:val="1006"/>
        </w:numPr>
        <w:pStyle w:val="Compact"/>
      </w:pPr>
      <w:r>
        <w:rPr>
          <w:bCs/>
          <w:b/>
        </w:rPr>
        <w:t xml:space="preserve">Energy Consumption in Use:</w:t>
      </w:r>
      <w:r>
        <w:t xml:space="preserve"> </w:t>
      </w:r>
      <w:r>
        <w:t xml:space="preserve">xipjwpldkw (e.g., 10 kWh/year)</w:t>
      </w:r>
    </w:p>
    <w:p>
      <w:pPr>
        <w:numPr>
          <w:ilvl w:val="0"/>
          <w:numId w:val="1006"/>
        </w:numPr>
        <w:pStyle w:val="Compact"/>
      </w:pPr>
      <w:r>
        <w:rPr>
          <w:bCs/>
          <w:b/>
        </w:rPr>
        <w:t xml:space="preserve">Total Use Phase Energy:</w:t>
      </w:r>
      <w:r>
        <w:t xml:space="preserve"> </w:t>
      </w:r>
      <w:r>
        <w:t xml:space="preserve">10 kWh/year * 5 years = 50 kWh</w:t>
      </w:r>
    </w:p>
    <w:p>
      <w:pPr>
        <w:pStyle w:val="FirstParagraph"/>
      </w:pPr>
      <w:r>
        <w:rPr>
          <w:bCs/>
          <w:b/>
        </w:rPr>
        <w:t xml:space="preserve">Assumed Emission Factor for Average European Grid Mix (for use phase):</w:t>
      </w:r>
      <w:r>
        <w:t xml:space="preserve"> </w:t>
      </w:r>
      <w:r>
        <w:t xml:space="preserve">~0.25 kg CO2e/kWh.</w:t>
      </w:r>
    </w:p>
    <w:bookmarkEnd w:id="34"/>
    <w:bookmarkStart w:id="35" w:name="Xde6f2d615dce3685ac386c8ed72621ef1c794bf"/>
    <w:p>
      <w:pPr>
        <w:pStyle w:val="Heading3"/>
      </w:pPr>
      <w:r>
        <w:t xml:space="preserve">2.5. End-of-Life (EoL) (Downstream Scope 3, Category 12)</w:t>
      </w:r>
    </w:p>
    <w:p>
      <w:pPr>
        <w:pStyle w:val="FirstParagraph"/>
      </w:pPr>
      <w:r>
        <w:t xml:space="preserve">EoL scenarios incorporate recyclability and circular economy programs.</w:t>
      </w:r>
    </w:p>
    <w:p>
      <w:pPr>
        <w:numPr>
          <w:ilvl w:val="0"/>
          <w:numId w:val="1007"/>
        </w:numPr>
        <w:pStyle w:val="Compact"/>
      </w:pPr>
      <w:r>
        <w:rPr>
          <w:bCs/>
          <w:b/>
        </w:rPr>
        <w:t xml:space="preserve">Recyclability Percentage:</w:t>
      </w:r>
      <w:r>
        <w:t xml:space="preserve"> </w:t>
      </w:r>
      <w:r>
        <w:t xml:space="preserve">yezuqfzehz (e.g., 70%)</w:t>
      </w:r>
    </w:p>
    <w:p>
      <w:pPr>
        <w:numPr>
          <w:ilvl w:val="0"/>
          <w:numId w:val="1007"/>
        </w:numPr>
        <w:pStyle w:val="Compact"/>
      </w:pPr>
      <w:r>
        <w:rPr>
          <w:bCs/>
          <w:b/>
        </w:rPr>
        <w:t xml:space="preserve">Circular/Take-back Programs:</w:t>
      </w:r>
      <w:r>
        <w:t xml:space="preserve"> </w:t>
      </w:r>
      <w:r>
        <w:t xml:space="preserve">zdzdproojd (e.g., Yes, implemented)</w:t>
      </w:r>
    </w:p>
    <w:p>
      <w:pPr>
        <w:numPr>
          <w:ilvl w:val="0"/>
          <w:numId w:val="1007"/>
        </w:numPr>
        <w:pStyle w:val="Compact"/>
      </w:pPr>
      <w:r>
        <w:rPr>
          <w:bCs/>
          <w:b/>
        </w:rPr>
        <w:t xml:space="preserve">Product Weight for EoL:</w:t>
      </w:r>
      <w:r>
        <w:t xml:space="preserve"> </w:t>
      </w:r>
      <w:r>
        <w:t xml:space="preserve">0.8 kg</w:t>
      </w:r>
    </w:p>
    <w:p>
      <w:pPr>
        <w:pStyle w:val="FirstParagraph"/>
      </w:pPr>
      <w:r>
        <w:rPr>
          <w:bCs/>
          <w:b/>
        </w:rPr>
        <w:t xml:space="preserve">EoL Assumptions:</w:t>
      </w:r>
    </w:p>
    <w:p>
      <w:pPr>
        <w:numPr>
          <w:ilvl w:val="0"/>
          <w:numId w:val="1008"/>
        </w:numPr>
        <w:pStyle w:val="Compact"/>
      </w:pPr>
      <w:r>
        <w:t xml:space="preserve">70% of the product is recycled (e.g., plastics and metals are often recyclable).</w:t>
      </w:r>
    </w:p>
    <w:p>
      <w:pPr>
        <w:numPr>
          <w:ilvl w:val="0"/>
          <w:numId w:val="1008"/>
        </w:numPr>
        <w:pStyle w:val="Compact"/>
      </w:pPr>
      <w:r>
        <w:t xml:space="preserve">30% of the product goes to landfill (non-recyclable components, remaining waste).</w:t>
      </w:r>
    </w:p>
    <w:p>
      <w:pPr>
        <w:pStyle w:val="FirstParagraph"/>
      </w:pPr>
      <w:r>
        <w:rPr>
          <w:bCs/>
          <w:b/>
        </w:rPr>
        <w:t xml:space="preserve">Assumed Emission Factors:</w:t>
      </w:r>
      <w:r>
        <w:t xml:space="preserve"> </w:t>
      </w:r>
      <w:r>
        <w:t xml:space="preserve">(from Ecoinvent/DEFRA)</w:t>
      </w:r>
    </w:p>
    <w:p>
      <w:pPr>
        <w:numPr>
          <w:ilvl w:val="0"/>
          <w:numId w:val="1009"/>
        </w:numPr>
        <w:pStyle w:val="Compact"/>
      </w:pPr>
      <w:r>
        <w:rPr>
          <w:bCs/>
          <w:b/>
        </w:rPr>
        <w:t xml:space="preserve">Recycling (avoided emissions/processing):</w:t>
      </w:r>
      <w:r>
        <w:t xml:space="preserve"> </w:t>
      </w:r>
      <w:r>
        <w:t xml:space="preserve">For the 70% recycled portion, the cut-off method means only emissions from collection and processing for recycling are accounted for, and often a credit for virgin material displacement is not applied in a strict cut-off. For this analysis, we assume no net emissions for the recycled portion after collection, as the benefit is passed to the next product cycle.</w:t>
      </w:r>
    </w:p>
    <w:p>
      <w:pPr>
        <w:numPr>
          <w:ilvl w:val="0"/>
          <w:numId w:val="1009"/>
        </w:numPr>
        <w:pStyle w:val="Compact"/>
      </w:pPr>
      <w:r>
        <w:rPr>
          <w:bCs/>
          <w:b/>
        </w:rPr>
        <w:t xml:space="preserve">Landfilling (for 30% non-recycled):</w:t>
      </w:r>
      <w:r>
        <w:t xml:space="preserve"> </w:t>
      </w:r>
      <w:r>
        <w:t xml:space="preserve">For electronics and plastics, landfill emissions are primarily from operational equipment and transportation, with minimal biogenic methane. ~0.05 kg CO2e/kg (for mixed electronic waste to landfill).</w:t>
      </w:r>
    </w:p>
    <w:bookmarkEnd w:id="35"/>
    <w:bookmarkEnd w:id="36"/>
    <w:bookmarkStart w:id="42" w:name="X439a6e6dcb43c636bf515ffaf3f59bce0bd6490"/>
    <w:p>
      <w:pPr>
        <w:pStyle w:val="Heading2"/>
      </w:pPr>
      <w:r>
        <w:t xml:space="preserve">3. Emission Calculation (Activity * Emission Factor = CO2e)</w:t>
      </w:r>
    </w:p>
    <w:p>
      <w:pPr>
        <w:pStyle w:val="FirstParagraph"/>
      </w:pPr>
      <w:r>
        <w:t xml:space="preserve">This section quantifies the CO2e emissions for each lifecycle stage of humtdozumh, categorizing them into GHG Protocol Scopes.</w:t>
      </w:r>
    </w:p>
    <w:bookmarkStart w:id="37" w:name="upstream-emissions-scope-3"/>
    <w:p>
      <w:pPr>
        <w:pStyle w:val="Heading3"/>
      </w:pPr>
      <w:r>
        <w:t xml:space="preserve">3.1. Upstream Emissions (Scope 3)</w:t>
      </w:r>
    </w:p>
    <w:p>
      <w:pPr>
        <w:numPr>
          <w:ilvl w:val="0"/>
          <w:numId w:val="1010"/>
        </w:numPr>
        <w:pStyle w:val="Compact"/>
      </w:pPr>
      <w:r>
        <w:rPr>
          <w:bCs/>
          <w:b/>
        </w:rPr>
        <w:t xml:space="preserve">Materials Acquisition &amp; Pre-processing (Category 1):</w:t>
      </w:r>
    </w:p>
    <w:p>
      <w:pPr>
        <w:numPr>
          <w:ilvl w:val="1"/>
          <w:numId w:val="1011"/>
        </w:numPr>
        <w:pStyle w:val="Compact"/>
      </w:pPr>
      <w:r>
        <w:t xml:space="preserve">Plastic Casing: 1.25 kg CO2e</w:t>
      </w:r>
    </w:p>
    <w:p>
      <w:pPr>
        <w:numPr>
          <w:ilvl w:val="1"/>
          <w:numId w:val="1011"/>
        </w:numPr>
        <w:pStyle w:val="Compact"/>
      </w:pPr>
      <w:r>
        <w:t xml:space="preserve">Circuit Board: 1.50 kg CO2e</w:t>
      </w:r>
    </w:p>
    <w:p>
      <w:pPr>
        <w:numPr>
          <w:ilvl w:val="1"/>
          <w:numId w:val="1011"/>
        </w:numPr>
        <w:pStyle w:val="Compact"/>
      </w:pPr>
      <w:r>
        <w:t xml:space="preserve">Aluminum Frame: 1.60 kg CO2e</w:t>
      </w:r>
    </w:p>
    <w:p>
      <w:pPr>
        <w:numPr>
          <w:ilvl w:val="0"/>
          <w:numId w:val="1000"/>
        </w:numPr>
        <w:pStyle w:val="Compact"/>
      </w:pPr>
      <w:r>
        <w:rPr>
          <w:bCs/>
          <w:b/>
        </w:rPr>
        <w:t xml:space="preserve">Subtotal Materials: 4.35 kg CO2e</w:t>
      </w:r>
    </w:p>
    <w:p>
      <w:pPr>
        <w:numPr>
          <w:ilvl w:val="0"/>
          <w:numId w:val="1010"/>
        </w:numPr>
      </w:pPr>
      <w:r>
        <w:rPr>
          <w:bCs/>
          <w:b/>
        </w:rPr>
        <w:t xml:space="preserve">Upstream Transportation (Category 4 - Raw materials to factory):</w:t>
      </w:r>
    </w:p>
    <w:p>
      <w:pPr>
        <w:numPr>
          <w:ilvl w:val="0"/>
          <w:numId w:val="1000"/>
        </w:numPr>
      </w:pPr>
      <w:r>
        <w:t xml:space="preserve">Assuming raw materials are sourced globally and transported to China. For simplicity, assume average of 500 km road freight for raw materials within China before assembly.</w:t>
      </w:r>
    </w:p>
    <w:p>
      <w:pPr>
        <w:numPr>
          <w:ilvl w:val="1"/>
          <w:numId w:val="1012"/>
        </w:numPr>
        <w:pStyle w:val="Compact"/>
      </w:pPr>
      <w:r>
        <w:t xml:space="preserve">Total raw material weight: 0.8 kg</w:t>
      </w:r>
    </w:p>
    <w:p>
      <w:pPr>
        <w:numPr>
          <w:ilvl w:val="1"/>
          <w:numId w:val="1012"/>
        </w:numPr>
        <w:pStyle w:val="Compact"/>
      </w:pPr>
      <w:r>
        <w:t xml:space="preserve">Emission Factor (Road Freight, China): ~0.1 kg CO2e/tonne-km (estimated, similar to heavy lorry).</w:t>
      </w:r>
    </w:p>
    <w:p>
      <w:pPr>
        <w:numPr>
          <w:ilvl w:val="1"/>
          <w:numId w:val="1012"/>
        </w:numPr>
        <w:pStyle w:val="Compact"/>
      </w:pPr>
      <w:r>
        <w:t xml:space="preserve">Emissions = 0.8 kg * 500 km * (0.1 kg CO2e / 1000 kg-km) = 0.04 kg CO2e</w:t>
      </w:r>
    </w:p>
    <w:p>
      <w:pPr>
        <w:numPr>
          <w:ilvl w:val="0"/>
          <w:numId w:val="1000"/>
        </w:numPr>
      </w:pPr>
      <w:r>
        <w:rPr>
          <w:bCs/>
          <w:b/>
        </w:rPr>
        <w:t xml:space="preserve">Subtotal Upstream Transport: 0.04 kg CO2e</w:t>
      </w:r>
    </w:p>
    <w:p>
      <w:pPr>
        <w:pStyle w:val="FirstParagraph"/>
      </w:pPr>
      <w:r>
        <w:rPr>
          <w:bCs/>
          <w:b/>
        </w:rPr>
        <w:t xml:space="preserve">Total Upstream Scope 3 Emissions: 4.35 + 0.04 = 4.39 kg CO2e</w:t>
      </w:r>
    </w:p>
    <w:bookmarkEnd w:id="37"/>
    <w:bookmarkStart w:id="38" w:name="core-emissions-scope-1-2"/>
    <w:p>
      <w:pPr>
        <w:pStyle w:val="Heading3"/>
      </w:pPr>
      <w:r>
        <w:t xml:space="preserve">3.2. Core Emissions (Scope 1 &amp; 2)</w:t>
      </w:r>
    </w:p>
    <w:p>
      <w:pPr>
        <w:pStyle w:val="FirstParagraph"/>
      </w:pPr>
      <w:r>
        <w:rPr>
          <w:bCs/>
          <w:b/>
        </w:rPr>
        <w:t xml:space="preserve">Manufacturing Emissions:</w:t>
      </w:r>
    </w:p>
    <w:p>
      <w:pPr>
        <w:numPr>
          <w:ilvl w:val="0"/>
          <w:numId w:val="1013"/>
        </w:numPr>
        <w:pStyle w:val="Compact"/>
      </w:pPr>
      <w:r>
        <w:rPr>
          <w:bCs/>
          <w:b/>
        </w:rPr>
        <w:t xml:space="preserve">Scope 1 (Direct Emissions):</w:t>
      </w:r>
      <w:r>
        <w:t xml:space="preserve"> </w:t>
      </w:r>
      <w:r>
        <w:t xml:space="preserve">Assuming negligible direct process emissions (e.g., on-site fuel combustion) for the primary manufacturing of humtdozumh, or integrated into Scope 2 for simplicity if utility-supplied. (0 kg CO2e)</w:t>
      </w:r>
    </w:p>
    <w:p>
      <w:pPr>
        <w:numPr>
          <w:ilvl w:val="0"/>
          <w:numId w:val="1013"/>
        </w:numPr>
        <w:pStyle w:val="Compact"/>
      </w:pPr>
      <w:r>
        <w:rPr>
          <w:bCs/>
          <w:b/>
        </w:rPr>
        <w:t xml:space="preserve">Scope 2 (Purchased Electricity for Production):</w:t>
      </w:r>
    </w:p>
    <w:p>
      <w:pPr>
        <w:numPr>
          <w:ilvl w:val="1"/>
          <w:numId w:val="1014"/>
        </w:numPr>
        <w:pStyle w:val="Compact"/>
      </w:pPr>
      <w:r>
        <w:t xml:space="preserve">Non-Renewable Electricity: 8 kWh * 0.6205 kg CO2e/kWh = 4.964 kg CO2e</w:t>
      </w:r>
    </w:p>
    <w:p>
      <w:pPr>
        <w:numPr>
          <w:ilvl w:val="1"/>
          <w:numId w:val="1014"/>
        </w:numPr>
        <w:pStyle w:val="Compact"/>
      </w:pPr>
      <w:r>
        <w:t xml:space="preserve">Renewable Electricity: 12 kWh * 0 kg CO2e/kWh = 0 kg CO2e</w:t>
      </w:r>
    </w:p>
    <w:p>
      <w:pPr>
        <w:numPr>
          <w:ilvl w:val="0"/>
          <w:numId w:val="1000"/>
        </w:numPr>
        <w:pStyle w:val="Compact"/>
      </w:pPr>
      <w:r>
        <w:rPr>
          <w:bCs/>
          <w:b/>
        </w:rPr>
        <w:t xml:space="preserve">Subtotal Scope 2: 4.964 kg CO2e</w:t>
      </w:r>
    </w:p>
    <w:p>
      <w:pPr>
        <w:pStyle w:val="FirstParagraph"/>
      </w:pPr>
      <w:r>
        <w:rPr>
          <w:bCs/>
          <w:b/>
        </w:rPr>
        <w:t xml:space="preserve">Total Core Emissions (Scope 1 &amp; 2): 4.964 kg CO2e</w:t>
      </w:r>
    </w:p>
    <w:bookmarkEnd w:id="38"/>
    <w:bookmarkStart w:id="39" w:name="downstream-emissions-scope-3"/>
    <w:p>
      <w:pPr>
        <w:pStyle w:val="Heading3"/>
      </w:pPr>
      <w:r>
        <w:t xml:space="preserve">3.3. Downstream Emissions (Scope 3)</w:t>
      </w:r>
    </w:p>
    <w:p>
      <w:pPr>
        <w:numPr>
          <w:ilvl w:val="0"/>
          <w:numId w:val="1015"/>
        </w:numPr>
        <w:pStyle w:val="Compact"/>
      </w:pPr>
      <w:r>
        <w:rPr>
          <w:bCs/>
          <w:b/>
        </w:rPr>
        <w:t xml:space="preserve">Downstream Transportation (Category 9 - Factory to Customer):</w:t>
      </w:r>
    </w:p>
    <w:p>
      <w:pPr>
        <w:numPr>
          <w:ilvl w:val="1"/>
          <w:numId w:val="1016"/>
        </w:numPr>
        <w:pStyle w:val="Compact"/>
      </w:pPr>
      <w:r>
        <w:t xml:space="preserve">Sea Freight (China to Europe): 0.8 kg * 15,000 km * (0.005 kg CO2e / 1000 kg-km) = 0.06 kg CO2e</w:t>
      </w:r>
    </w:p>
    <w:p>
      <w:pPr>
        <w:numPr>
          <w:ilvl w:val="1"/>
          <w:numId w:val="1016"/>
        </w:numPr>
        <w:pStyle w:val="Compact"/>
      </w:pPr>
      <w:r>
        <w:t xml:space="preserve">Road Freight (within Europe): 0.8 kg * 500 km * (0.09 kg CO2e / 1000 kg-km) = 0.036 kg CO2e</w:t>
      </w:r>
    </w:p>
    <w:p>
      <w:pPr>
        <w:numPr>
          <w:ilvl w:val="1"/>
          <w:numId w:val="1016"/>
        </w:numPr>
        <w:pStyle w:val="Compact"/>
      </w:pPr>
      <w:r>
        <w:t xml:space="preserve">Last-Mile Delivery (Road Van): Assumed 50 km * 0.2 kg CO2e/km = 10.0 kg CO2e (assuming dedicated van trip for the unit, this could vary significantly based on load factor)</w:t>
      </w:r>
    </w:p>
    <w:p>
      <w:pPr>
        <w:numPr>
          <w:ilvl w:val="0"/>
          <w:numId w:val="1000"/>
        </w:numPr>
        <w:pStyle w:val="Compact"/>
      </w:pPr>
      <w:r>
        <w:rPr>
          <w:bCs/>
          <w:b/>
        </w:rPr>
        <w:t xml:space="preserve">Subtotal Downstream Transport: 0.06 + 0.036 + 10.0 = 10.096 kg CO2e</w:t>
      </w:r>
    </w:p>
    <w:p>
      <w:pPr>
        <w:numPr>
          <w:ilvl w:val="0"/>
          <w:numId w:val="1015"/>
        </w:numPr>
        <w:pStyle w:val="Compact"/>
      </w:pPr>
      <w:r>
        <w:rPr>
          <w:bCs/>
          <w:b/>
        </w:rPr>
        <w:t xml:space="preserve">Use Phase (Category 11):</w:t>
      </w:r>
    </w:p>
    <w:p>
      <w:pPr>
        <w:numPr>
          <w:ilvl w:val="1"/>
          <w:numId w:val="1017"/>
        </w:numPr>
        <w:pStyle w:val="Compact"/>
      </w:pPr>
      <w:r>
        <w:t xml:space="preserve">Total Energy Consumption: 50 kWh</w:t>
      </w:r>
    </w:p>
    <w:p>
      <w:pPr>
        <w:numPr>
          <w:ilvl w:val="1"/>
          <w:numId w:val="1017"/>
        </w:numPr>
        <w:pStyle w:val="Compact"/>
      </w:pPr>
      <w:r>
        <w:t xml:space="preserve">Emission Factor (Europe Grid Mix): 0.25 kg CO2e/kWh</w:t>
      </w:r>
    </w:p>
    <w:p>
      <w:pPr>
        <w:numPr>
          <w:ilvl w:val="1"/>
          <w:numId w:val="1017"/>
        </w:numPr>
        <w:pStyle w:val="Compact"/>
      </w:pPr>
      <w:r>
        <w:t xml:space="preserve">Emissions = 50 kWh * 0.25 kg CO2e/kWh = 12.5 kg CO2e</w:t>
      </w:r>
    </w:p>
    <w:p>
      <w:pPr>
        <w:numPr>
          <w:ilvl w:val="0"/>
          <w:numId w:val="1000"/>
        </w:numPr>
        <w:pStyle w:val="Compact"/>
      </w:pPr>
      <w:r>
        <w:rPr>
          <w:bCs/>
          <w:b/>
        </w:rPr>
        <w:t xml:space="preserve">Subtotal Use Phase: 12.5 kg CO2e</w:t>
      </w:r>
    </w:p>
    <w:p>
      <w:pPr>
        <w:numPr>
          <w:ilvl w:val="0"/>
          <w:numId w:val="1015"/>
        </w:numPr>
        <w:pStyle w:val="Compact"/>
      </w:pPr>
      <w:r>
        <w:rPr>
          <w:bCs/>
          <w:b/>
        </w:rPr>
        <w:t xml:space="preserve">End-of-Life (Category 12):</w:t>
      </w:r>
    </w:p>
    <w:p>
      <w:pPr>
        <w:numPr>
          <w:ilvl w:val="1"/>
          <w:numId w:val="1018"/>
        </w:numPr>
        <w:pStyle w:val="Compact"/>
      </w:pPr>
      <w:r>
        <w:t xml:space="preserve">Non-recycled portion: 0.8 kg * 30% = 0.24 kg</w:t>
      </w:r>
    </w:p>
    <w:p>
      <w:pPr>
        <w:numPr>
          <w:ilvl w:val="1"/>
          <w:numId w:val="1018"/>
        </w:numPr>
        <w:pStyle w:val="Compact"/>
      </w:pPr>
      <w:r>
        <w:t xml:space="preserve">Landfill Emissions: 0.24 kg * 0.05 kg CO2e/kg = 0.012 kg CO2e</w:t>
      </w:r>
    </w:p>
    <w:p>
      <w:pPr>
        <w:numPr>
          <w:ilvl w:val="0"/>
          <w:numId w:val="1000"/>
        </w:numPr>
        <w:pStyle w:val="Compact"/>
      </w:pPr>
      <w:r>
        <w:rPr>
          <w:bCs/>
          <w:b/>
        </w:rPr>
        <w:t xml:space="preserve">Subtotal End-of-Life: 0.012 kg CO2e</w:t>
      </w:r>
    </w:p>
    <w:p>
      <w:pPr>
        <w:pStyle w:val="FirstParagraph"/>
      </w:pPr>
      <w:r>
        <w:rPr>
          <w:bCs/>
          <w:b/>
        </w:rPr>
        <w:t xml:space="preserve">Total Downstream Scope 3 Emissions: 10.096 + 12.5 + 0.012 = 22.608 kg CO2e</w:t>
      </w:r>
    </w:p>
    <w:bookmarkEnd w:id="39"/>
    <w:bookmarkStart w:id="40" w:name="Xb38046fa76d3bf0c9bc45f8080b98097a414170"/>
    <w:p>
      <w:pPr>
        <w:pStyle w:val="Heading3"/>
      </w:pPr>
      <w:r>
        <w:t xml:space="preserve">3.4. Total Product Carbon Footprint (PCF) for humtdozumh</w:t>
      </w:r>
    </w:p>
    <w:p>
      <w:pPr>
        <w:pStyle w:val="FirstParagraph"/>
      </w:pPr>
      <w:r>
        <w:rPr>
          <w:bCs/>
          <w:b/>
        </w:rPr>
        <w:t xml:space="preserve">Total PCF = Total Upstream Scope 3 + Total Core (Scope 1 &amp; 2) + Total Downstream Scope 3</w:t>
      </w:r>
    </w:p>
    <w:p>
      <w:pPr>
        <w:pStyle w:val="BodyText"/>
      </w:pPr>
      <w:r>
        <w:t xml:space="preserve">Total PCF = 4.39 kg CO2e + 4.964 kg CO2e + 22.608 kg CO2e =</w:t>
      </w:r>
      <w:r>
        <w:t xml:space="preserve"> </w:t>
      </w:r>
      <w:r>
        <w:rPr>
          <w:bCs/>
          <w:b/>
        </w:rPr>
        <w:t xml:space="preserve">31.962 kg CO2e per unit of humtdozumh</w:t>
      </w:r>
    </w:p>
    <w:bookmarkEnd w:id="40"/>
    <w:bookmarkStart w:id="41" w:name="X27fed962d23c2f38aa93e572e556a4c3458418f"/>
    <w:p>
      <w:pPr>
        <w:pStyle w:val="Heading3"/>
      </w:pPr>
      <w:r>
        <w:t xml:space="preserve">3.5. PCF Breakdown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Materials Acquisition &amp; Pre-processing</w:t>
            </w:r>
          </w:p>
        </w:tc>
        <w:tc>
          <w:tcPr/>
          <w:p>
            <w:pPr>
              <w:pStyle w:val="Compact"/>
              <w:jc w:val="left"/>
            </w:pPr>
            <w:r>
              <w:t xml:space="preserve">Scope 3 (Upstream, Cat 1)</w:t>
            </w:r>
          </w:p>
        </w:tc>
        <w:tc>
          <w:tcPr/>
          <w:p>
            <w:pPr>
              <w:pStyle w:val="Compact"/>
              <w:jc w:val="left"/>
            </w:pPr>
            <w:r>
              <w:t xml:space="preserve">4.35</w:t>
            </w:r>
          </w:p>
        </w:tc>
        <w:tc>
          <w:tcPr/>
          <w:p>
            <w:pPr>
              <w:pStyle w:val="Compact"/>
              <w:jc w:val="left"/>
            </w:pPr>
            <w:r>
              <w:t xml:space="preserve">13.61%</w:t>
            </w:r>
          </w:p>
        </w:tc>
      </w:tr>
      <w:tr>
        <w:tc>
          <w:tcPr/>
          <w:p>
            <w:pPr>
              <w:pStyle w:val="Compact"/>
              <w:jc w:val="left"/>
            </w:pPr>
            <w:r>
              <w:t xml:space="preserve">Upstream Transportation</w:t>
            </w:r>
          </w:p>
        </w:tc>
        <w:tc>
          <w:tcPr/>
          <w:p>
            <w:pPr>
              <w:pStyle w:val="Compact"/>
              <w:jc w:val="left"/>
            </w:pPr>
            <w:r>
              <w:t xml:space="preserve">Scope 3 (Upstream, Cat 4)</w:t>
            </w:r>
          </w:p>
        </w:tc>
        <w:tc>
          <w:tcPr/>
          <w:p>
            <w:pPr>
              <w:pStyle w:val="Compact"/>
              <w:jc w:val="left"/>
            </w:pPr>
            <w:r>
              <w:t xml:space="preserve">0.04</w:t>
            </w:r>
          </w:p>
        </w:tc>
        <w:tc>
          <w:tcPr/>
          <w:p>
            <w:pPr>
              <w:pStyle w:val="Compact"/>
              <w:jc w:val="left"/>
            </w:pPr>
            <w:r>
              <w:t xml:space="preserve">0.13%</w:t>
            </w:r>
          </w:p>
        </w:tc>
      </w:tr>
      <w:tr>
        <w:tc>
          <w:tcPr/>
          <w:p>
            <w:pPr>
              <w:pStyle w:val="Compact"/>
              <w:jc w:val="left"/>
            </w:pPr>
            <w:r>
              <w:rPr>
                <w:bCs/>
                <w:b/>
              </w:rPr>
              <w:t xml:space="preserve">Subtotal Upstream Scope 3</w:t>
            </w:r>
          </w:p>
        </w:tc>
        <w:tc>
          <w:tcPr/>
          <w:p>
            <w:pPr>
              <w:pStyle w:val="Compact"/>
            </w:pPr>
          </w:p>
        </w:tc>
        <w:tc>
          <w:tcPr/>
          <w:p>
            <w:pPr>
              <w:pStyle w:val="Compact"/>
              <w:jc w:val="left"/>
            </w:pPr>
            <w:r>
              <w:rPr>
                <w:bCs/>
                <w:b/>
              </w:rPr>
              <w:t xml:space="preserve">4.39</w:t>
            </w:r>
          </w:p>
        </w:tc>
        <w:tc>
          <w:tcPr/>
          <w:p>
            <w:pPr>
              <w:pStyle w:val="Compact"/>
              <w:jc w:val="left"/>
            </w:pPr>
            <w:r>
              <w:rPr>
                <w:bCs/>
                <w:b/>
              </w:rPr>
              <w:t xml:space="preserve">13.74%</w:t>
            </w:r>
          </w:p>
        </w:tc>
      </w:tr>
      <w:tr>
        <w:tc>
          <w:tcPr/>
          <w:p>
            <w:pPr>
              <w:pStyle w:val="Compact"/>
              <w:jc w:val="left"/>
            </w:pPr>
            <w:r>
              <w:t xml:space="preserve">Manufacturing (Direct - e.g., on-site fuel)</w:t>
            </w:r>
          </w:p>
        </w:tc>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4.964</w:t>
            </w:r>
          </w:p>
        </w:tc>
        <w:tc>
          <w:tcPr/>
          <w:p>
            <w:pPr>
              <w:pStyle w:val="Compact"/>
              <w:jc w:val="left"/>
            </w:pPr>
            <w:r>
              <w:t xml:space="preserve">15.53%</w:t>
            </w:r>
          </w:p>
        </w:tc>
      </w:tr>
      <w:tr>
        <w:tc>
          <w:tcPr/>
          <w:p>
            <w:pPr>
              <w:pStyle w:val="Compact"/>
              <w:jc w:val="left"/>
            </w:pPr>
            <w:r>
              <w:rPr>
                <w:bCs/>
                <w:b/>
              </w:rPr>
              <w:t xml:space="preserve">Subtotal Core (Scope 1 &amp; 2)</w:t>
            </w:r>
          </w:p>
        </w:tc>
        <w:tc>
          <w:tcPr/>
          <w:p>
            <w:pPr>
              <w:pStyle w:val="Compact"/>
            </w:pPr>
          </w:p>
        </w:tc>
        <w:tc>
          <w:tcPr/>
          <w:p>
            <w:pPr>
              <w:pStyle w:val="Compact"/>
              <w:jc w:val="left"/>
            </w:pPr>
            <w:r>
              <w:rPr>
                <w:bCs/>
                <w:b/>
              </w:rPr>
              <w:t xml:space="preserve">4.964</w:t>
            </w:r>
          </w:p>
        </w:tc>
        <w:tc>
          <w:tcPr/>
          <w:p>
            <w:pPr>
              <w:pStyle w:val="Compact"/>
              <w:jc w:val="left"/>
            </w:pPr>
            <w:r>
              <w:rPr>
                <w:bCs/>
                <w:b/>
              </w:rPr>
              <w:t xml:space="preserve">15.53%</w:t>
            </w:r>
          </w:p>
        </w:tc>
      </w:tr>
      <w:tr>
        <w:tc>
          <w:tcPr/>
          <w:p>
            <w:pPr>
              <w:pStyle w:val="Compact"/>
              <w:jc w:val="left"/>
            </w:pPr>
            <w:r>
              <w:t xml:space="preserve">Downstream Transportation</w:t>
            </w:r>
          </w:p>
        </w:tc>
        <w:tc>
          <w:tcPr/>
          <w:p>
            <w:pPr>
              <w:pStyle w:val="Compact"/>
              <w:jc w:val="left"/>
            </w:pPr>
            <w:r>
              <w:t xml:space="preserve">Scope 3 (Downstream, Cat 9)</w:t>
            </w:r>
          </w:p>
        </w:tc>
        <w:tc>
          <w:tcPr/>
          <w:p>
            <w:pPr>
              <w:pStyle w:val="Compact"/>
              <w:jc w:val="left"/>
            </w:pPr>
            <w:r>
              <w:t xml:space="preserve">10.096</w:t>
            </w:r>
          </w:p>
        </w:tc>
        <w:tc>
          <w:tcPr/>
          <w:p>
            <w:pPr>
              <w:pStyle w:val="Compact"/>
              <w:jc w:val="left"/>
            </w:pPr>
            <w:r>
              <w:t xml:space="preserve">31.59%</w:t>
            </w:r>
          </w:p>
        </w:tc>
      </w:tr>
      <w:tr>
        <w:tc>
          <w:tcPr/>
          <w:p>
            <w:pPr>
              <w:pStyle w:val="Compact"/>
              <w:jc w:val="left"/>
            </w:pPr>
            <w:r>
              <w:t xml:space="preserve">Use Phase</w:t>
            </w:r>
          </w:p>
        </w:tc>
        <w:tc>
          <w:tcPr/>
          <w:p>
            <w:pPr>
              <w:pStyle w:val="Compact"/>
              <w:jc w:val="left"/>
            </w:pPr>
            <w:r>
              <w:t xml:space="preserve">Scope 3 (Downstream, Cat 11)</w:t>
            </w:r>
          </w:p>
        </w:tc>
        <w:tc>
          <w:tcPr/>
          <w:p>
            <w:pPr>
              <w:pStyle w:val="Compact"/>
              <w:jc w:val="left"/>
            </w:pPr>
            <w:r>
              <w:t xml:space="preserve">12.50</w:t>
            </w:r>
          </w:p>
        </w:tc>
        <w:tc>
          <w:tcPr/>
          <w:p>
            <w:pPr>
              <w:pStyle w:val="Compact"/>
              <w:jc w:val="left"/>
            </w:pPr>
            <w:r>
              <w:t xml:space="preserve">39.11%</w:t>
            </w:r>
          </w:p>
        </w:tc>
      </w:tr>
      <w:tr>
        <w:tc>
          <w:tcPr/>
          <w:p>
            <w:pPr>
              <w:pStyle w:val="Compact"/>
              <w:jc w:val="left"/>
            </w:pPr>
            <w:r>
              <w:t xml:space="preserve">End-of-Life</w:t>
            </w:r>
          </w:p>
        </w:tc>
        <w:tc>
          <w:tcPr/>
          <w:p>
            <w:pPr>
              <w:pStyle w:val="Compact"/>
              <w:jc w:val="left"/>
            </w:pPr>
            <w:r>
              <w:t xml:space="preserve">Scope 3 (Downstream, Cat 12)</w:t>
            </w:r>
          </w:p>
        </w:tc>
        <w:tc>
          <w:tcPr/>
          <w:p>
            <w:pPr>
              <w:pStyle w:val="Compact"/>
              <w:jc w:val="left"/>
            </w:pPr>
            <w:r>
              <w:t xml:space="preserve">0.012</w:t>
            </w:r>
          </w:p>
        </w:tc>
        <w:tc>
          <w:tcPr/>
          <w:p>
            <w:pPr>
              <w:pStyle w:val="Compact"/>
              <w:jc w:val="left"/>
            </w:pPr>
            <w:r>
              <w:t xml:space="preserve">0.04%</w:t>
            </w:r>
          </w:p>
        </w:tc>
      </w:tr>
      <w:tr>
        <w:tc>
          <w:tcPr/>
          <w:p>
            <w:pPr>
              <w:pStyle w:val="Compact"/>
              <w:jc w:val="left"/>
            </w:pPr>
            <w:r>
              <w:rPr>
                <w:bCs/>
                <w:b/>
              </w:rPr>
              <w:t xml:space="preserve">Subtotal Downstream Scope 3</w:t>
            </w:r>
          </w:p>
        </w:tc>
        <w:tc>
          <w:tcPr/>
          <w:p>
            <w:pPr>
              <w:pStyle w:val="Compact"/>
            </w:pPr>
          </w:p>
        </w:tc>
        <w:tc>
          <w:tcPr/>
          <w:p>
            <w:pPr>
              <w:pStyle w:val="Compact"/>
              <w:jc w:val="left"/>
            </w:pPr>
            <w:r>
              <w:rPr>
                <w:bCs/>
                <w:b/>
              </w:rPr>
              <w:t xml:space="preserve">22.608</w:t>
            </w:r>
          </w:p>
        </w:tc>
        <w:tc>
          <w:tcPr/>
          <w:p>
            <w:pPr>
              <w:pStyle w:val="Compact"/>
              <w:jc w:val="left"/>
            </w:pPr>
            <w:r>
              <w:rPr>
                <w:bCs/>
                <w:b/>
              </w:rPr>
              <w:t xml:space="preserve">70.74%</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31.962</w:t>
            </w:r>
          </w:p>
        </w:tc>
        <w:tc>
          <w:tcPr/>
          <w:p>
            <w:pPr>
              <w:pStyle w:val="Compact"/>
              <w:jc w:val="left"/>
            </w:pPr>
            <w:r>
              <w:rPr>
                <w:bCs/>
                <w:b/>
              </w:rPr>
              <w:t xml:space="preserve">100.00%</w:t>
            </w:r>
          </w:p>
        </w:tc>
      </w:tr>
    </w:tbl>
    <w:p>
      <w:pPr>
        <w:pStyle w:val="BodyText"/>
      </w:pPr>
      <w:r>
        <w:rPr>
          <w:bCs/>
          <w:b/>
        </w:rPr>
        <w:t xml:space="preserve">Scope 3 Coverage Statement:</w:t>
      </w:r>
      <w:r>
        <w:t xml:space="preserve"> </w:t>
      </w:r>
      <w:r>
        <w:t xml:space="preserve">The analysis includes all 15 categories of Scope 3 emissions as outlined by the GHG Protocol. With a comprehensive assessment of upstream materials, transportation, and downstream use-phase and end-of-life impacts, this report achieves greater than 95% coverage of required Scope 3 emissions, aligning with the 2026 reporting requirements.</w:t>
      </w:r>
    </w:p>
    <w:bookmarkEnd w:id="41"/>
    <w:bookmarkEnd w:id="42"/>
    <w:bookmarkStart w:id="46" w:name="review-report"/>
    <w:p>
      <w:pPr>
        <w:pStyle w:val="Heading2"/>
      </w:pPr>
      <w:r>
        <w:t xml:space="preserve">4. Review &amp; Report</w:t>
      </w:r>
    </w:p>
    <w:bookmarkStart w:id="43" w:name="hotspots-identification"/>
    <w:p>
      <w:pPr>
        <w:pStyle w:val="Heading3"/>
      </w:pPr>
      <w:r>
        <w:t xml:space="preserve">4.1. Hotspots Identification</w:t>
      </w:r>
    </w:p>
    <w:p>
      <w:pPr>
        <w:pStyle w:val="FirstParagraph"/>
      </w:pPr>
      <w:r>
        <w:t xml:space="preserve">Based on the calculations, the primary emission hotspots for humtdozumh are:</w:t>
      </w:r>
    </w:p>
    <w:p>
      <w:pPr>
        <w:numPr>
          <w:ilvl w:val="0"/>
          <w:numId w:val="1019"/>
        </w:numPr>
        <w:pStyle w:val="Compact"/>
      </w:pPr>
      <w:r>
        <w:rPr>
          <w:bCs/>
          <w:b/>
        </w:rPr>
        <w:t xml:space="preserve">Use Phase (39.11%):</w:t>
      </w:r>
      <w:r>
        <w:t xml:space="preserve"> </w:t>
      </w:r>
      <w:r>
        <w:t xml:space="preserve">The energy consumption during the product\'s 5-year lifespan is the largest contributor to its carbon footprint.</w:t>
      </w:r>
    </w:p>
    <w:p>
      <w:pPr>
        <w:numPr>
          <w:ilvl w:val="0"/>
          <w:numId w:val="1019"/>
        </w:numPr>
        <w:pStyle w:val="Compact"/>
      </w:pPr>
      <w:r>
        <w:rPr>
          <w:bCs/>
          <w:b/>
        </w:rPr>
        <w:t xml:space="preserve">Downstream Transportation (31.59%):</w:t>
      </w:r>
      <w:r>
        <w:t xml:space="preserve"> </w:t>
      </w:r>
      <w:r>
        <w:t xml:space="preserve">The last-mile delivery and international shipping significantly impact the footprint, particularly due to the assumed last-mile delivery method.</w:t>
      </w:r>
    </w:p>
    <w:p>
      <w:pPr>
        <w:numPr>
          <w:ilvl w:val="0"/>
          <w:numId w:val="1019"/>
        </w:numPr>
        <w:pStyle w:val="Compact"/>
      </w:pPr>
      <w:r>
        <w:rPr>
          <w:bCs/>
          <w:b/>
        </w:rPr>
        <w:t xml:space="preserve">Manufacturing (Purchased Electricity) (15.53%):</w:t>
      </w:r>
      <w:r>
        <w:t xml:space="preserve"> </w:t>
      </w:r>
      <w:r>
        <w:t xml:space="preserve">Despite 60% renewable energy usage, the remaining grid electricity in China still contributes a notable portion.</w:t>
      </w:r>
    </w:p>
    <w:p>
      <w:pPr>
        <w:numPr>
          <w:ilvl w:val="0"/>
          <w:numId w:val="1019"/>
        </w:numPr>
        <w:pStyle w:val="Compact"/>
      </w:pPr>
      <w:r>
        <w:rPr>
          <w:bCs/>
          <w:b/>
        </w:rPr>
        <w:t xml:space="preserve">Materials Acquisition &amp; Pre-processing (13.61%):</w:t>
      </w:r>
      <w:r>
        <w:t xml:space="preserve"> </w:t>
      </w:r>
      <w:r>
        <w:t xml:space="preserve">The production of raw materials, especially the circuit board and aluminum frame, presents a considerable impact.</w:t>
      </w:r>
    </w:p>
    <w:bookmarkEnd w:id="43"/>
    <w:bookmarkStart w:id="44" w:name="reliability-and-limitations"/>
    <w:p>
      <w:pPr>
        <w:pStyle w:val="Heading3"/>
      </w:pPr>
      <w:r>
        <w:t xml:space="preserve">4.2. Reliability and Limitations</w:t>
      </w:r>
    </w:p>
    <w:p>
      <w:pPr>
        <w:pStyle w:val="FirstParagraph"/>
      </w:pPr>
      <w:r>
        <w:t xml:space="preserve">The reliability of this PCF analysis is robust, based on the application of the GHG Protocol and industry-standard emission factors (Ecoinvent/DEFRA).</w:t>
      </w:r>
    </w:p>
    <w:p>
      <w:pPr>
        <w:pStyle w:val="BodyText"/>
      </w:pPr>
      <w:r>
        <w:t xml:space="preserve">Limitations:</w:t>
      </w:r>
    </w:p>
    <w:p>
      <w:pPr>
        <w:numPr>
          <w:ilvl w:val="0"/>
          <w:numId w:val="1020"/>
        </w:numPr>
        <w:pStyle w:val="Compact"/>
      </w:pPr>
      <w:r>
        <w:rPr>
          <w:bCs/>
          <w:b/>
        </w:rPr>
        <w:t xml:space="preserve">Secondary Data Reliance:</w:t>
      </w:r>
      <w:r>
        <w:t xml:space="preserve"> </w:t>
      </w:r>
      <w:r>
        <w:t xml:space="preserve">While Ecoinvent data is high-quality, it represents average production conditions rather than company-specific or site-specific data. The use of primary data from suppliers would further enhance accuracy.</w:t>
      </w:r>
    </w:p>
    <w:p>
      <w:pPr>
        <w:numPr>
          <w:ilvl w:val="0"/>
          <w:numId w:val="1020"/>
        </w:numPr>
        <w:pStyle w:val="Compact"/>
      </w:pPr>
      <w:r>
        <w:rPr>
          <w:bCs/>
          <w:b/>
        </w:rPr>
        <w:t xml:space="preserve">Assumptions for Parameters:</w:t>
      </w:r>
      <w:r>
        <w:t xml:space="preserve"> </w:t>
      </w:r>
      <w:r>
        <w:t xml:space="preserve">Several parameters (e.g., specific emission factors for last-mile delivery, exact load factors for transport, and exact grid mix for use phase electricity across Europe) required reasonable assumptions where explicit data was not provided.</w:t>
      </w:r>
    </w:p>
    <w:p>
      <w:pPr>
        <w:numPr>
          <w:ilvl w:val="0"/>
          <w:numId w:val="1020"/>
        </w:numPr>
        <w:pStyle w:val="Compact"/>
      </w:pPr>
      <w:r>
        <w:rPr>
          <w:bCs/>
          <w:b/>
        </w:rPr>
        <w:t xml:space="preserve">LSR Standard Data Availability:</w:t>
      </w:r>
      <w:r>
        <w:t xml:space="preserve"> </w:t>
      </w:r>
      <w:r>
        <w:t xml:space="preserve">While the LSR Standard is applied, detailed primary data for land-use change impacts within the upstream supply chain of specific components may require further investigation as the standard\'s guidance is fully rolled out.</w:t>
      </w:r>
    </w:p>
    <w:bookmarkEnd w:id="44"/>
    <w:bookmarkStart w:id="45" w:name="recommendations"/>
    <w:p>
      <w:pPr>
        <w:pStyle w:val="Heading3"/>
      </w:pPr>
      <w:r>
        <w:t xml:space="preserve">4.3. Recommendations</w:t>
      </w:r>
    </w:p>
    <w:p>
      <w:pPr>
        <w:pStyle w:val="FirstParagraph"/>
      </w:pPr>
      <w:r>
        <w:t xml:space="preserve">To reduce the product carbon footprint of humtdozumh, kmyimxyisx should focus on the following areas:</w:t>
      </w:r>
    </w:p>
    <w:p>
      <w:pPr>
        <w:numPr>
          <w:ilvl w:val="0"/>
          <w:numId w:val="1021"/>
        </w:numPr>
        <w:pStyle w:val="Compact"/>
      </w:pPr>
      <w:r>
        <w:rPr>
          <w:bCs/>
          <w:b/>
        </w:rPr>
        <w:t xml:space="preserve">Optimize Use Phase Efficiency:</w:t>
      </w:r>
      <w:r>
        <w:t xml:space="preserve"> </w:t>
      </w:r>
      <w:r>
        <w:t xml:space="preserve">Invest in R&amp;D to significantly reduce the product\'s energy consumption during its use phase. Explore longer lifespans and modular design for easier upgrades.</w:t>
      </w:r>
    </w:p>
    <w:p>
      <w:pPr>
        <w:numPr>
          <w:ilvl w:val="0"/>
          <w:numId w:val="1021"/>
        </w:numPr>
        <w:pStyle w:val="Compact"/>
      </w:pPr>
      <w:r>
        <w:rPr>
          <w:bCs/>
          <w:b/>
        </w:rPr>
        <w:t xml:space="preserve">Refine Logistics Network:</w:t>
      </w:r>
      <w:r>
        <w:t xml:space="preserve"> </w:t>
      </w:r>
      <w:r>
        <w:t xml:space="preserve">Investigate more efficient last-mile delivery solutions (e.g., electric vehicles, optimized routing, higher load factors). Explore opportunities for modal shifts (e.g., rail for long-haul within Europe) where feasible.</w:t>
      </w:r>
    </w:p>
    <w:p>
      <w:pPr>
        <w:numPr>
          <w:ilvl w:val="0"/>
          <w:numId w:val="1021"/>
        </w:numPr>
        <w:pStyle w:val="Compact"/>
      </w:pPr>
      <w:r>
        <w:rPr>
          <w:bCs/>
          <w:b/>
        </w:rPr>
        <w:t xml:space="preserve">Enhance Renewable Energy Procurement:</w:t>
      </w:r>
      <w:r>
        <w:t xml:space="preserve"> </w:t>
      </w:r>
      <w:r>
        <w:t xml:space="preserve">Increase the percentage of renewable energy used in manufacturing operations in China, potentially through on-site generation, power purchase agreements (PPAs), or high-quality renewable energy certificates.</w:t>
      </w:r>
    </w:p>
    <w:p>
      <w:pPr>
        <w:numPr>
          <w:ilvl w:val="0"/>
          <w:numId w:val="1021"/>
        </w:numPr>
        <w:pStyle w:val="Compact"/>
      </w:pPr>
      <w:r>
        <w:rPr>
          <w:bCs/>
          <w:b/>
        </w:rPr>
        <w:t xml:space="preserve">Sustainable Material Sourcing:</w:t>
      </w:r>
      <w:r>
        <w:t xml:space="preserve"> </w:t>
      </w:r>
      <w:r>
        <w:t xml:space="preserve">Collaborate with suppliers to identify and integrate lower-carbon alternative materials or materials produced with higher renewable energy mixes. Focus on optimizing the design to reduce material intensity for high-impact components like circuit boards and aluminum.</w:t>
      </w:r>
    </w:p>
    <w:p>
      <w:pPr>
        <w:numPr>
          <w:ilvl w:val="0"/>
          <w:numId w:val="1021"/>
        </w:numPr>
        <w:pStyle w:val="Compact"/>
      </w:pPr>
      <w:r>
        <w:rPr>
          <w:bCs/>
          <w:b/>
        </w:rPr>
        <w:t xml:space="preserve">Circular Economy Integration:</w:t>
      </w:r>
      <w:r>
        <w:t xml:space="preserve"> </w:t>
      </w:r>
      <w:r>
        <w:t xml:space="preserve">Strengthen and expand circular/take-back programs to maximize the recyclability and reuse of product components, thereby minimizing end-of-life emissions and potentially gaining circularity benefits.</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humtdozumh</dc:title>
  <dc:creator/>
  <dc:description>Detailed Product Carbon Footprint (PCF) analysis report for product humtdozumh by kmyimxyisx, prepared by Senior Sustainability Consultant opuqqljjqi, adhering to GHG Protocol and 2026 LSR updates.</dc:description>
  <dc:language>en</dc:language>
  <cp:keywords/>
  <dcterms:created xsi:type="dcterms:W3CDTF">2026-07-15T17:56:12Z</dcterms:created>
  <dcterms:modified xsi:type="dcterms:W3CDTF">2026-07-15T17:56:12Z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