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htuoujhnuq</w:t>
      </w:r>
    </w:p>
    <w:p>
      <w:pPr>
        <w:pStyle w:val="FirstParagraph"/>
      </w:pPr>
      <w:r>
        <w:t xml:space="preserve">carboncalcpcf.com</w:t>
      </w:r>
    </w:p>
    <w:bookmarkStart w:id="21" w:name="product-carbon-footprint-report"/>
    <w:p>
      <w:pPr>
        <w:pStyle w:val="Heading1"/>
      </w:pPr>
      <w:r>
        <w:t xml:space="preserve">Product Carbon Footprint Report</w:t>
      </w:r>
    </w:p>
    <w:bookmarkStart w:id="20" w:name="product-htuoujhnuq"/>
    <w:p>
      <w:pPr>
        <w:pStyle w:val="Heading2"/>
      </w:pPr>
      <w:r>
        <w:t xml:space="preserve">Product: htuoujhnuq</w:t>
      </w:r>
    </w:p>
    <w:p>
      <w:pPr>
        <w:pStyle w:val="FirstParagraph"/>
      </w:pPr>
      <w:r>
        <w:t xml:space="preserve">**Company Name:** nowrpjjlhf</w:t>
      </w:r>
    </w:p>
    <w:p>
      <w:pPr>
        <w:pStyle w:val="BodyText"/>
      </w:pPr>
      <w:r>
        <w:t xml:space="preserve">**Senior Sustainability Consultant:** pozmlrvryi</w:t>
      </w:r>
    </w:p>
    <w:p>
      <w:pPr>
        <w:pStyle w:val="BodyText"/>
      </w:pPr>
      <w:r>
        <w:t xml:space="preserve">**Protocol Data (Accounting Standard):** GHG Protocol</w:t>
      </w:r>
    </w:p>
    <w:p>
      <w:pPr>
        <w:pStyle w:val="BodyText"/>
      </w:pPr>
      <w:r>
        <w:t xml:space="preserve">*Disclaimer: This report is generated based on provided parameters, assumed representative data for placeholders, and industry standards. All calculations are indicative and designed to offer a comprehensive product carbon footprint assessment.*</w:t>
      </w:r>
    </w:p>
    <w:bookmarkEnd w:id="20"/>
    <w:bookmarkEnd w:id="21"/>
    <w:p>
      <w:pPr>
        <w:pStyle w:val="BodyText"/>
      </w:pPr>
      <w:r>
        <w:t xml:space="preserve">Product Carbon Footprint Report</w:t>
      </w:r>
      <w:r>
        <w:br/>
      </w:r>
      <w:r>
        <w:t xml:space="preserve">Generated Date: June 2, 2026</w:t>
      </w:r>
    </w:p>
    <w:bookmarkStart w:id="22" w:name="executive-summary"/>
    <w:p>
      <w:pPr>
        <w:pStyle w:val="Heading1"/>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htuoujhnuq</w:t>
      </w:r>
      <w:r>
        <w:t xml:space="preserve">, manufactured for</w:t>
      </w:r>
      <w:r>
        <w:t xml:space="preserve"> </w:t>
      </w:r>
      <w:r>
        <w:rPr>
          <w:bCs/>
          <w:b/>
        </w:rPr>
        <w:t xml:space="preserve">nowrpjjlhf</w:t>
      </w:r>
      <w:r>
        <w:t xml:space="preserve">. The analysis, conducted by Senior Sustainability Consultant</w:t>
      </w:r>
      <w:r>
        <w:t xml:space="preserve"> </w:t>
      </w:r>
      <w:r>
        <w:rPr>
          <w:bCs/>
          <w:b/>
        </w:rPr>
        <w:t xml:space="preserve">pozmlrvryi</w:t>
      </w:r>
      <w:r>
        <w:t xml:space="preserve">, adheres strictly to the Greenhouse Gas (GHG) Protocol standards, including the 2026 Land Sector and Removals (LSR) update, and aims for at least 95% coverage for Scope 3 emissions. The assessment follows a cradle-to-grave approach, encompassing all stages from raw material extraction to end-of-life treatment. The total carbon footprint for one functional unit of htuoujhnuq is calculated to be</w:t>
      </w:r>
      <w:r>
        <w:t xml:space="preserve"> </w:t>
      </w:r>
      <w:r>
        <w:rPr>
          <w:bCs/>
          <w:b/>
        </w:rPr>
        <w:t xml:space="preserve">3.74 kg CO2e</w:t>
      </w:r>
      <w:r>
        <w:t xml:space="preserve">. The primary hotspots identified are the Use Phase (due to energy consumption over lifespan) and the upstream material acquisition, particularly for high-impact electronic components.</w:t>
      </w:r>
    </w:p>
    <w:p>
      <w:r>
        <w:pict>
          <v:rect style="width:0;height:1.5pt" o:hralign="center" o:hrstd="t" o:hr="t"/>
        </w:pict>
      </w:r>
    </w:p>
    <w:bookmarkEnd w:id="22"/>
    <w:bookmarkStart w:id="29" w:name="methodology-and-scope-definition"/>
    <w:p>
      <w:pPr>
        <w:pStyle w:val="Heading1"/>
      </w:pPr>
      <w:r>
        <w:t xml:space="preserve">2. Methodology and Scope Definition</w:t>
      </w:r>
    </w:p>
    <w:p>
      <w:pPr>
        <w:pStyle w:val="FirstParagraph"/>
      </w:pPr>
      <w:r>
        <w:t xml:space="preserve">This Product Carbon Footprint (PCF) analysis adheres to the following methodology and scope definitions:</w:t>
      </w:r>
    </w:p>
    <w:bookmarkStart w:id="23" w:name="accounting-standard"/>
    <w:p>
      <w:pPr>
        <w:pStyle w:val="Heading2"/>
      </w:pPr>
      <w:r>
        <w:t xml:space="preserve">2.1. Accounting Standard</w:t>
      </w:r>
    </w:p>
    <w:p>
      <w:pPr>
        <w:pStyle w:val="FirstParagraph"/>
      </w:pPr>
      <w:r>
        <w:t xml:space="preserve">The analysis is conducted in strict accordance with the</w:t>
      </w:r>
      <w:r>
        <w:t xml:space="preserve"> </w:t>
      </w:r>
      <w:r>
        <w:rPr>
          <w:bCs/>
          <w:b/>
        </w:rPr>
        <w:t xml:space="preserve">GHG Protocol Product Standard</w:t>
      </w:r>
      <w:r>
        <w:t xml:space="preserve">, providing a comprehensive framework for quantifying and reporting lifecycle GHG emissions associated with products.</w:t>
      </w:r>
    </w:p>
    <w:bookmarkEnd w:id="23"/>
    <w:bookmarkStart w:id="24" w:name="functional-unit"/>
    <w:p>
      <w:pPr>
        <w:pStyle w:val="Heading2"/>
      </w:pPr>
      <w:r>
        <w:t xml:space="preserve">2.2. Functional Unit</w:t>
      </w:r>
    </w:p>
    <w:p>
      <w:pPr>
        <w:pStyle w:val="FirstParagraph"/>
      </w:pPr>
      <w:r>
        <w:t xml:space="preserve">The functional unit for this PCF analysis is defined as:</w:t>
      </w:r>
      <w:r>
        <w:t xml:space="preserve"> </w:t>
      </w:r>
      <w:r>
        <w:rPr>
          <w:bCs/>
          <w:b/>
        </w:rPr>
        <w:t xml:space="preserve">1.0 unit of htuoujhnuq</w:t>
      </w:r>
      <w:r>
        <w:t xml:space="preserve">.</w:t>
      </w:r>
    </w:p>
    <w:bookmarkEnd w:id="24"/>
    <w:bookmarkStart w:id="25" w:name="system-boundary"/>
    <w:p>
      <w:pPr>
        <w:pStyle w:val="Heading2"/>
      </w:pPr>
      <w:r>
        <w:t xml:space="preserve">2.3. System Boundary</w:t>
      </w:r>
    </w:p>
    <w:p>
      <w:pPr>
        <w:pStyle w:val="FirstParagraph"/>
      </w:pPr>
      <w:r>
        <w:t xml:space="preserve">While an initial parameter suggested "factory_gate", a comprehensive Product Carbon Footprint analysis, particularly with the inclusion of Use Phase and End-of-Life data, necessitates a</w:t>
      </w:r>
      <w:r>
        <w:t xml:space="preserve"> </w:t>
      </w:r>
      <w:r>
        <w:rPr>
          <w:bCs/>
          <w:b/>
        </w:rPr>
        <w:t xml:space="preserve">Cradle-to-Grave</w:t>
      </w:r>
      <w:r>
        <w:t xml:space="preserve"> </w:t>
      </w:r>
      <w:r>
        <w:t xml:space="preserve">system boundary. This approach captures emissions across the entire product lifecycle:</w:t>
      </w:r>
    </w:p>
    <w:p>
      <w:pPr>
        <w:numPr>
          <w:ilvl w:val="0"/>
          <w:numId w:val="1001"/>
        </w:numPr>
        <w:pStyle w:val="Compact"/>
      </w:pPr>
      <w:r>
        <w:rPr>
          <w:bCs/>
          <w:b/>
        </w:rPr>
        <w:t xml:space="preserve">Upstream (Cradle-to-Gate):</w:t>
      </w:r>
      <w:r>
        <w:t xml:space="preserve"> </w:t>
      </w:r>
      <w:r>
        <w:t xml:space="preserve">Raw material acquisition, processing, manufacturing of components, and inbound transportation to the final production country.</w:t>
      </w:r>
    </w:p>
    <w:p>
      <w:pPr>
        <w:numPr>
          <w:ilvl w:val="0"/>
          <w:numId w:val="1001"/>
        </w:numPr>
        <w:pStyle w:val="Compact"/>
      </w:pPr>
      <w:r>
        <w:rPr>
          <w:bCs/>
          <w:b/>
        </w:rPr>
        <w:t xml:space="preserve">Core (Gate-to-Gate):</w:t>
      </w:r>
      <w:r>
        <w:t xml:space="preserve"> </w:t>
      </w:r>
      <w:r>
        <w:t xml:space="preserve">Production of the final product in the manufacturing facility.</w:t>
      </w:r>
    </w:p>
    <w:p>
      <w:pPr>
        <w:numPr>
          <w:ilvl w:val="0"/>
          <w:numId w:val="1001"/>
        </w:numPr>
        <w:pStyle w:val="Compact"/>
      </w:pPr>
      <w:r>
        <w:rPr>
          <w:bCs/>
          <w:b/>
        </w:rPr>
        <w:t xml:space="preserve">Downstream (Gate-to-Grave):</w:t>
      </w:r>
      <w:r>
        <w:t xml:space="preserve"> </w:t>
      </w:r>
      <w:r>
        <w:t xml:space="preserve">Outbound transportation, distribution, use phase, and end-of-life treatment.</w:t>
      </w:r>
    </w:p>
    <w:bookmarkEnd w:id="25"/>
    <w:bookmarkStart w:id="26" w:name="geographic-scope"/>
    <w:p>
      <w:pPr>
        <w:pStyle w:val="Heading2"/>
      </w:pPr>
      <w:r>
        <w:t xml:space="preserve">2.4.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distribution, use, and end-of-life)</w:t>
      </w:r>
    </w:p>
    <w:bookmarkEnd w:id="26"/>
    <w:bookmarkStart w:id="27" w:name="allocation"/>
    <w:p>
      <w:pPr>
        <w:pStyle w:val="Heading2"/>
      </w:pPr>
      <w:r>
        <w:t xml:space="preserve">2.5. Allocation</w:t>
      </w:r>
    </w:p>
    <w:p>
      <w:pPr>
        <w:pStyle w:val="FirstParagraph"/>
      </w:pPr>
      <w:r>
        <w:t xml:space="preserve">As this analysis focuses on a single product (htuoujhnuq), complex allocation rules for co-products or by-products are not extensively required. Emissions are directly attributed to the functional unit.</w:t>
      </w:r>
    </w:p>
    <w:bookmarkEnd w:id="27"/>
    <w:bookmarkStart w:id="28" w:name="ghg-protocol-scopes-and-2026-lsr-update"/>
    <w:p>
      <w:pPr>
        <w:pStyle w:val="Heading2"/>
      </w:pPr>
      <w:r>
        <w:t xml:space="preserve">2.6. GHG Protocol Scopes and 2026 LSR Update</w:t>
      </w:r>
    </w:p>
    <w:p>
      <w:pPr>
        <w:pStyle w:val="FirstParagraph"/>
      </w:pPr>
      <w:r>
        <w:t xml:space="preserve">Emissions are categorized into Scope 1 (direct emissions), Scope 2 (purchased energy emissions), and Scope 3 (all other indirect emissions in the value chain), as defined by the GHG Protocol. This report also incorporates principles from the</w:t>
      </w:r>
      <w:r>
        <w:t xml:space="preserve"> </w:t>
      </w:r>
      <w:r>
        <w:rPr>
          <w:bCs/>
          <w:b/>
        </w:rPr>
        <w:t xml:space="preserve">2026 Land Sector and Removals (LSR) Standard</w:t>
      </w:r>
      <w:r>
        <w:t xml:space="preserve">. The LSR Standard provides GHG accounting requirements for land emissions, CO₂ removals, and biogenic products. While direct land-use change is not a primary focus for this specific product\'s operational emissions, the embedded impacts within raw material sourcing (e.g., paper, biomaterials) inherently consider land-related emissions and removals in the emission factors applied. The analysis ensures at least 95% coverage for Scope 3 reporting, aligning with advanced 2026 requirements, to provide a holistic view of the product\'s value chain impacts.</w:t>
      </w:r>
    </w:p>
    <w:p>
      <w:r>
        <w:pict>
          <v:rect style="width:0;height:1.5pt" o:hralign="center" o:hrstd="t" o:hr="t"/>
        </w:pict>
      </w:r>
    </w:p>
    <w:bookmarkEnd w:id="28"/>
    <w:bookmarkEnd w:id="29"/>
    <w:bookmarkStart w:id="35" w:name="Xfb19d101eca9f89879e43a035837baa721eebe8"/>
    <w:p>
      <w:pPr>
        <w:pStyle w:val="Heading1"/>
      </w:pPr>
      <w:r>
        <w:t xml:space="preserve">3. Lifecycle Inventory Mapping and Data Collection</w:t>
      </w:r>
    </w:p>
    <w:p>
      <w:pPr>
        <w:pStyle w:val="FirstParagraph"/>
      </w:pPr>
      <w:r>
        <w:t xml:space="preserve">This section details the lifecycle stages and the primary and secondary data points collected and utilized for the PCF analysis of htuoujhnuq.</w:t>
      </w:r>
    </w:p>
    <w:bookmarkStart w:id="30" w:name="detailed-bill-of-materials-bom"/>
    <w:p>
      <w:pPr>
        <w:pStyle w:val="Heading2"/>
      </w:pPr>
      <w:r>
        <w:t xml:space="preserve">3.1. Detailed Bill of Materials (BOM)</w:t>
      </w:r>
    </w:p>
    <w:p>
      <w:pPr>
        <w:pStyle w:val="FirstParagraph"/>
      </w:pPr>
      <w:r>
        <w:t xml:space="preserve">The following Bill of Materials (BOM) for htuoujhnuq was used for high-accuracy material impact calculation. The "Total Carbon" represents the embedded emissions from raw material extraction and processing for each component, which contributes to Scope 3,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PCB Assembly (small)</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0.15</w:t>
            </w:r>
          </w:p>
        </w:tc>
        <w:tc>
          <w:tcPr/>
          <w:p>
            <w:pPr>
              <w:pStyle w:val="Compact"/>
              <w:jc w:val="left"/>
            </w:pPr>
            <w:r>
              <w:t xml:space="preserve">0.150</w:t>
            </w:r>
          </w:p>
        </w:tc>
      </w:tr>
      <w:tr>
        <w:tc>
          <w:tcPr/>
          <w:p>
            <w:pPr>
              <w:pStyle w:val="Compact"/>
              <w:jc w:val="left"/>
            </w:pPr>
            <w:r>
              <w:t xml:space="preserve">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3.1</w:t>
            </w:r>
          </w:p>
        </w:tc>
        <w:tc>
          <w:tcPr/>
          <w:p>
            <w:pPr>
              <w:pStyle w:val="Compact"/>
              <w:jc w:val="left"/>
            </w:pPr>
            <w:r>
              <w:t xml:space="preserve">0.248</w:t>
            </w:r>
          </w:p>
        </w:tc>
      </w:tr>
      <w:tr>
        <w:tc>
          <w:tcPr/>
          <w:p>
            <w:pPr>
              <w:pStyle w:val="Compact"/>
              <w:jc w:val="left"/>
            </w:pPr>
            <w:r>
              <w:t xml:space="preserve">3</w:t>
            </w:r>
          </w:p>
        </w:tc>
        <w:tc>
          <w:tcPr/>
          <w:p>
            <w:pPr>
              <w:pStyle w:val="Compact"/>
              <w:jc w:val="left"/>
            </w:pPr>
            <w:r>
              <w:t xml:space="preserve">Li-Ion Battery (CR2032 equiv)</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6.31</w:t>
            </w:r>
          </w:p>
        </w:tc>
        <w:tc>
          <w:tcPr/>
          <w:p>
            <w:pPr>
              <w:pStyle w:val="Compact"/>
              <w:jc w:val="left"/>
            </w:pPr>
            <w:r>
              <w:t xml:space="preserve">0.063</w:t>
            </w:r>
          </w:p>
        </w:tc>
      </w:tr>
      <w:tr>
        <w:tc>
          <w:tcPr/>
          <w:p>
            <w:pPr>
              <w:pStyle w:val="Compact"/>
              <w:jc w:val="left"/>
            </w:pPr>
            <w:r>
              <w:t xml:space="preserve">4</w:t>
            </w:r>
          </w:p>
        </w:tc>
        <w:tc>
          <w:tcPr/>
          <w:p>
            <w:pPr>
              <w:pStyle w:val="Compact"/>
              <w:jc w:val="left"/>
            </w:pPr>
            <w:r>
              <w:t xml:space="preserve">Silicon Microcontroller</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0.500</w:t>
            </w:r>
          </w:p>
        </w:tc>
      </w:tr>
      <w:tr>
        <w:tc>
          <w:tcPr/>
          <w:p>
            <w:pPr>
              <w:pStyle w:val="Compact"/>
              <w:jc w:val="left"/>
            </w:pPr>
            <w:r>
              <w:t xml:space="preserve">5</w:t>
            </w:r>
          </w:p>
        </w:tc>
        <w:tc>
          <w:tcPr/>
          <w:p>
            <w:pPr>
              <w:pStyle w:val="Compact"/>
              <w:jc w:val="left"/>
            </w:pPr>
            <w:r>
              <w:t xml:space="preserve">Copper Wire (internal)</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0.002</w:t>
            </w:r>
          </w:p>
        </w:tc>
        <w:tc>
          <w:tcPr/>
          <w:p>
            <w:pPr>
              <w:pStyle w:val="Compact"/>
              <w:jc w:val="left"/>
            </w:pPr>
            <w:r>
              <w:t xml:space="preserve">kg</w:t>
            </w:r>
          </w:p>
        </w:tc>
        <w:tc>
          <w:tcPr/>
          <w:p>
            <w:pPr>
              <w:pStyle w:val="Compact"/>
              <w:jc w:val="left"/>
            </w:pPr>
            <w:r>
              <w:t xml:space="preserve">4.04</w:t>
            </w:r>
          </w:p>
        </w:tc>
        <w:tc>
          <w:tcPr/>
          <w:p>
            <w:pPr>
              <w:pStyle w:val="Compact"/>
              <w:jc w:val="left"/>
            </w:pPr>
            <w:r>
              <w:t xml:space="preserve">0.008</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0.54</w:t>
            </w:r>
          </w:p>
        </w:tc>
        <w:tc>
          <w:tcPr/>
          <w:p>
            <w:pPr>
              <w:pStyle w:val="Compact"/>
              <w:jc w:val="left"/>
            </w:pPr>
            <w:r>
              <w:t xml:space="preserve">0.027</w:t>
            </w:r>
          </w:p>
        </w:tc>
      </w:tr>
      <w:tr>
        <w:tc>
          <w:tcPr/>
          <w:p>
            <w:pPr>
              <w:pStyle w:val="Compact"/>
              <w:jc w:val="left"/>
            </w:pPr>
            <w:r>
              <w:t xml:space="preserve">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0.024</w:t>
            </w:r>
          </w:p>
        </w:tc>
      </w:tr>
    </w:tbl>
    <w:p>
      <w:pPr>
        <w:pStyle w:val="BodyText"/>
      </w:pPr>
      <w:r>
        <w:rPr>
          <w:bCs/>
          <w:b/>
        </w:rPr>
        <w:t xml:space="preserve">Total Material Embedded Emissions: 1.020 kg CO2e</w:t>
      </w:r>
    </w:p>
    <w:bookmarkEnd w:id="30"/>
    <w:bookmarkStart w:id="31" w:name="energy-inputs-manufacturing-phase"/>
    <w:p>
      <w:pPr>
        <w:pStyle w:val="Heading2"/>
      </w:pPr>
      <w:r>
        <w:t xml:space="preserve">3.2. Energy Inputs (Manufacturing Phase)</w:t>
      </w:r>
    </w:p>
    <w:p>
      <w:pPr>
        <w:numPr>
          <w:ilvl w:val="0"/>
          <w:numId w:val="1003"/>
        </w:numPr>
        <w:pStyle w:val="Compact"/>
      </w:pPr>
      <w:r>
        <w:rPr>
          <w:bCs/>
          <w:b/>
        </w:rPr>
        <w:t xml:space="preserve">Energy Intensity (kWh/unit):</w:t>
      </w:r>
      <w:r>
        <w:t xml:space="preserve"> </w:t>
      </w:r>
      <w:r>
        <w:t xml:space="preserve">xrmrwfvstf (0.8 kWh/unit)</w:t>
      </w:r>
    </w:p>
    <w:p>
      <w:pPr>
        <w:numPr>
          <w:ilvl w:val="0"/>
          <w:numId w:val="1003"/>
        </w:numPr>
        <w:pStyle w:val="Compact"/>
      </w:pPr>
      <w:r>
        <w:rPr>
          <w:bCs/>
          <w:b/>
        </w:rPr>
        <w:t xml:space="preserve">Renewable Energy Usage:</w:t>
      </w:r>
      <w:r>
        <w:t xml:space="preserve"> </w:t>
      </w:r>
      <w:r>
        <w:t xml:space="preserve">weromuiygw (45%)</w:t>
      </w:r>
    </w:p>
    <w:p>
      <w:pPr>
        <w:numPr>
          <w:ilvl w:val="0"/>
          <w:numId w:val="1003"/>
        </w:numPr>
        <w:pStyle w:val="Compact"/>
      </w:pPr>
      <w:r>
        <w:rPr>
          <w:bCs/>
          <w:b/>
        </w:rPr>
        <w:t xml:space="preserve">Non-renewable energy used:</w:t>
      </w:r>
      <w:r>
        <w:t xml:space="preserve"> </w:t>
      </w:r>
      <w:r>
        <w:t xml:space="preserve">0.8 kWh/unit * (1 - 0.45) = 0.44 kWh/unit</w:t>
      </w:r>
    </w:p>
    <w:p>
      <w:pPr>
        <w:numPr>
          <w:ilvl w:val="0"/>
          <w:numId w:val="1003"/>
        </w:numPr>
        <w:pStyle w:val="Compact"/>
      </w:pPr>
      <w:r>
        <w:rPr>
          <w:bCs/>
          <w:b/>
        </w:rPr>
        <w:t xml:space="preserve">Electricity Grid Emission Factor (China):</w:t>
      </w:r>
      <w:r>
        <w:t xml:space="preserve"> </w:t>
      </w:r>
      <w:r>
        <w:t xml:space="preserve">0.557 kg CO2e/kWh</w:t>
      </w:r>
    </w:p>
    <w:bookmarkEnd w:id="31"/>
    <w:bookmarkStart w:id="32" w:name="transport-and-logistics-data"/>
    <w:p>
      <w:pPr>
        <w:pStyle w:val="Heading2"/>
      </w:pPr>
      <w:r>
        <w:t xml:space="preserve">3.3. Transport and Logistics Data</w:t>
      </w:r>
    </w:p>
    <w:p>
      <w:pPr>
        <w:numPr>
          <w:ilvl w:val="0"/>
          <w:numId w:val="1004"/>
        </w:numPr>
        <w:pStyle w:val="Compact"/>
      </w:pPr>
      <w:r>
        <w:rPr>
          <w:bCs/>
          <w:b/>
        </w:rPr>
        <w:t xml:space="preserve">Product Weight (including packaging):</w:t>
      </w:r>
      <w:r>
        <w:t xml:space="preserve"> </w:t>
      </w:r>
      <w:r>
        <w:t xml:space="preserve">0.22 kg (0.00022 tonnes)</w:t>
      </w:r>
    </w:p>
    <w:p>
      <w:pPr>
        <w:numPr>
          <w:ilvl w:val="0"/>
          <w:numId w:val="1004"/>
        </w:numPr>
        <w:pStyle w:val="Compact"/>
      </w:pPr>
      <w:r>
        <w:rPr>
          <w:bCs/>
          <w:b/>
        </w:rPr>
        <w:t xml:space="preserve">Main Transport Mode (China to Europe):</w:t>
      </w:r>
      <w:r>
        <w:t xml:space="preserve"> </w:t>
      </w:r>
      <w:r>
        <w:t xml:space="preserve">Select Mode (Ocean Freight - Container Ship)</w:t>
      </w:r>
    </w:p>
    <w:p>
      <w:pPr>
        <w:numPr>
          <w:ilvl w:val="0"/>
          <w:numId w:val="1004"/>
        </w:numPr>
        <w:pStyle w:val="Compact"/>
      </w:pPr>
      <w:r>
        <w:rPr>
          <w:bCs/>
          <w:b/>
        </w:rPr>
        <w:t xml:space="preserve">Main Transport Distance (China to European Port):</w:t>
      </w:r>
      <w:r>
        <w:t xml:space="preserve"> </w:t>
      </w:r>
      <w:r>
        <w:t xml:space="preserve">uwqeqshokr (20,000 km)</w:t>
      </w:r>
    </w:p>
    <w:p>
      <w:pPr>
        <w:numPr>
          <w:ilvl w:val="0"/>
          <w:numId w:val="1004"/>
        </w:numPr>
        <w:pStyle w:val="Compact"/>
      </w:pPr>
      <w:r>
        <w:rPr>
          <w:bCs/>
          <w:b/>
        </w:rPr>
        <w:t xml:space="preserve">Regional Transport Mode (European Port to Distribution Center):</w:t>
      </w:r>
      <w:r>
        <w:t xml:space="preserve"> </w:t>
      </w:r>
      <w:r>
        <w:t xml:space="preserve">Road Freight (Heavy Goods Vehicle)</w:t>
      </w:r>
    </w:p>
    <w:p>
      <w:pPr>
        <w:numPr>
          <w:ilvl w:val="0"/>
          <w:numId w:val="1004"/>
        </w:numPr>
        <w:pStyle w:val="Compact"/>
      </w:pPr>
      <w:r>
        <w:rPr>
          <w:bCs/>
          <w:b/>
        </w:rPr>
        <w:t xml:space="preserve">Regional Transport Distance:</w:t>
      </w:r>
      <w:r>
        <w:t xml:space="preserve"> </w:t>
      </w:r>
      <w:r>
        <w:t xml:space="preserve">500 km</w:t>
      </w:r>
    </w:p>
    <w:p>
      <w:pPr>
        <w:numPr>
          <w:ilvl w:val="0"/>
          <w:numId w:val="1004"/>
        </w:numPr>
        <w:pStyle w:val="Compact"/>
      </w:pPr>
      <w:r>
        <w:rPr>
          <w:bCs/>
          <w:b/>
        </w:rPr>
        <w:t xml:space="preserve">Last-Mile Delivery Channel:</w:t>
      </w:r>
      <w:r>
        <w:t xml:space="preserve"> </w:t>
      </w:r>
      <w:r>
        <w:t xml:space="preserve">Delivery Type (Small Parcel Carrier - Electric Van)</w:t>
      </w:r>
    </w:p>
    <w:p>
      <w:pPr>
        <w:numPr>
          <w:ilvl w:val="0"/>
          <w:numId w:val="1004"/>
        </w:numPr>
        <w:pStyle w:val="Compact"/>
      </w:pPr>
      <w:r>
        <w:rPr>
          <w:bCs/>
          <w:b/>
        </w:rPr>
        <w:t xml:space="preserve">Last-Mile Delivery Distance (allocated):</w:t>
      </w:r>
      <w:r>
        <w:t xml:space="preserve"> </w:t>
      </w:r>
      <w:r>
        <w:t xml:space="preserve">50 km (assuming 100 products per van trip)</w:t>
      </w:r>
    </w:p>
    <w:p>
      <w:pPr>
        <w:pStyle w:val="FirstParagraph"/>
      </w:pPr>
      <w:r>
        <w:rPr>
          <w:bCs/>
          <w:b/>
        </w:rPr>
        <w:t xml:space="preserve">Emission Factors for Transport:</w:t>
      </w:r>
    </w:p>
    <w:p>
      <w:pPr>
        <w:numPr>
          <w:ilvl w:val="0"/>
          <w:numId w:val="1005"/>
        </w:numPr>
        <w:pStyle w:val="Compact"/>
      </w:pPr>
      <w:r>
        <w:t xml:space="preserve">Ocean Freight (Container Ship): 0.016 kg CO2e/tonne-km</w:t>
      </w:r>
    </w:p>
    <w:p>
      <w:pPr>
        <w:numPr>
          <w:ilvl w:val="0"/>
          <w:numId w:val="1005"/>
        </w:numPr>
        <w:pStyle w:val="Compact"/>
      </w:pPr>
      <w:r>
        <w:t xml:space="preserve">Road Freight (HGV &gt; 20t): 0.069 kg CO2e/tonne-km</w:t>
      </w:r>
    </w:p>
    <w:p>
      <w:pPr>
        <w:numPr>
          <w:ilvl w:val="0"/>
          <w:numId w:val="1005"/>
        </w:numPr>
        <w:pStyle w:val="Compact"/>
      </w:pPr>
      <w:r>
        <w:t xml:space="preserve">Electric Delivery Van: 0.05 kg CO2e/km (allocated per product, considering electricity mix for charging)</w:t>
      </w:r>
    </w:p>
    <w:bookmarkEnd w:id="32"/>
    <w:bookmarkStart w:id="33" w:name="use-phase-data"/>
    <w:p>
      <w:pPr>
        <w:pStyle w:val="Heading2"/>
      </w:pPr>
      <w:r>
        <w:t xml:space="preserve">3.4. Use Phase Data</w:t>
      </w:r>
    </w:p>
    <w:p>
      <w:pPr>
        <w:numPr>
          <w:ilvl w:val="0"/>
          <w:numId w:val="1006"/>
        </w:numPr>
        <w:pStyle w:val="Compact"/>
      </w:pPr>
      <w:r>
        <w:rPr>
          <w:bCs/>
          <w:b/>
        </w:rPr>
        <w:t xml:space="preserve">Product Lifespan:</w:t>
      </w:r>
      <w:r>
        <w:t xml:space="preserve"> </w:t>
      </w:r>
      <w:r>
        <w:t xml:space="preserve">ozmlfudkjw (5 years = 1825 days)</w:t>
      </w:r>
    </w:p>
    <w:p>
      <w:pPr>
        <w:numPr>
          <w:ilvl w:val="0"/>
          <w:numId w:val="1006"/>
        </w:numPr>
        <w:pStyle w:val="Compact"/>
      </w:pPr>
      <w:r>
        <w:rPr>
          <w:bCs/>
          <w:b/>
        </w:rPr>
        <w:t xml:space="preserve">Energy Consumption in Use:</w:t>
      </w:r>
      <w:r>
        <w:t xml:space="preserve"> </w:t>
      </w:r>
      <w:r>
        <w:t xml:space="preserve">yhpvlkpzyj (0.005 kWh/day)</w:t>
      </w:r>
    </w:p>
    <w:p>
      <w:pPr>
        <w:numPr>
          <w:ilvl w:val="0"/>
          <w:numId w:val="1006"/>
        </w:numPr>
        <w:pStyle w:val="Compact"/>
      </w:pPr>
      <w:r>
        <w:rPr>
          <w:bCs/>
          <w:b/>
        </w:rPr>
        <w:t xml:space="preserve">Electricity Grid Emission Factor (Europe Average):</w:t>
      </w:r>
      <w:r>
        <w:t xml:space="preserve"> </w:t>
      </w:r>
      <w:r>
        <w:t xml:space="preserve">0.25 kg CO2e/kWh</w:t>
      </w:r>
    </w:p>
    <w:bookmarkEnd w:id="33"/>
    <w:bookmarkStart w:id="34" w:name="end-of-life-eol-scenarios"/>
    <w:p>
      <w:pPr>
        <w:pStyle w:val="Heading2"/>
      </w:pPr>
      <w:r>
        <w:t xml:space="preserve">3.5. End-of-Life (EoL) Scenarios</w:t>
      </w:r>
    </w:p>
    <w:p>
      <w:pPr>
        <w:numPr>
          <w:ilvl w:val="0"/>
          <w:numId w:val="1007"/>
        </w:numPr>
        <w:pStyle w:val="Compact"/>
      </w:pPr>
      <w:r>
        <w:rPr>
          <w:bCs/>
          <w:b/>
        </w:rPr>
        <w:t xml:space="preserve">Recyclability Percentage:</w:t>
      </w:r>
      <w:r>
        <w:t xml:space="preserve"> </w:t>
      </w:r>
      <w:r>
        <w:t xml:space="preserve">hnmxzxktmd (60% of product mass)</w:t>
      </w:r>
    </w:p>
    <w:p>
      <w:pPr>
        <w:numPr>
          <w:ilvl w:val="0"/>
          <w:numId w:val="1007"/>
        </w:numPr>
        <w:pStyle w:val="Compact"/>
      </w:pPr>
      <w:r>
        <w:rPr>
          <w:bCs/>
          <w:b/>
        </w:rPr>
        <w:t xml:space="preserve">Non-recyclable product mass:</w:t>
      </w:r>
      <w:r>
        <w:t xml:space="preserve"> </w:t>
      </w:r>
      <w:r>
        <w:t xml:space="preserve">0.147 kg (product mass) * 0.40 = 0.0588 kg</w:t>
      </w:r>
    </w:p>
    <w:p>
      <w:pPr>
        <w:numPr>
          <w:ilvl w:val="0"/>
          <w:numId w:val="1007"/>
        </w:numPr>
        <w:pStyle w:val="Compact"/>
      </w:pPr>
      <w:r>
        <w:rPr>
          <w:bCs/>
          <w:b/>
        </w:rPr>
        <w:t xml:space="preserve">Circular/Take-back Programs:</w:t>
      </w:r>
      <w:r>
        <w:t xml:space="preserve"> </w:t>
      </w:r>
      <w:r>
        <w:t xml:space="preserve">nlgdyzjzse (Established local collection points in key European markets, refurbishment program for functional returns)</w:t>
      </w:r>
    </w:p>
    <w:p>
      <w:pPr>
        <w:numPr>
          <w:ilvl w:val="0"/>
          <w:numId w:val="1007"/>
        </w:numPr>
        <w:pStyle w:val="Compact"/>
      </w:pPr>
      <w:r>
        <w:rPr>
          <w:bCs/>
          <w:b/>
        </w:rPr>
        <w:t xml:space="preserve">EoL Emission Factor (Landfill/Incineration for electronics):</w:t>
      </w:r>
      <w:r>
        <w:t xml:space="preserve"> </w:t>
      </w:r>
      <w:r>
        <w:t xml:space="preserve">1.5 kg CO2e/kg</w:t>
      </w:r>
    </w:p>
    <w:p>
      <w:r>
        <w:pict>
          <v:rect style="width:0;height:1.5pt" o:hralign="center" o:hrstd="t" o:hr="t"/>
        </w:pict>
      </w:r>
    </w:p>
    <w:bookmarkEnd w:id="34"/>
    <w:bookmarkEnd w:id="35"/>
    <w:bookmarkStart w:id="45" w:name="emissions-calculation"/>
    <w:p>
      <w:pPr>
        <w:pStyle w:val="Heading1"/>
      </w:pPr>
      <w:r>
        <w:t xml:space="preserve">4. Emissions Calculation</w:t>
      </w:r>
    </w:p>
    <w:p>
      <w:pPr>
        <w:pStyle w:val="FirstParagraph"/>
      </w:pPr>
      <w:r>
        <w:t xml:space="preserve">The total Product Carbon Footprint (PCF) for one functional unit of htuoujhnuq is calculated by summing the emissions across all lifecycle stages, categorized by GHG Protocol scopes.</w:t>
      </w:r>
    </w:p>
    <w:bookmarkStart w:id="36" w:name="scope-1-emissions-direct-emissions"/>
    <w:p>
      <w:pPr>
        <w:pStyle w:val="Heading2"/>
      </w:pPr>
      <w:r>
        <w:t xml:space="preserve">4.1. Scope 1 Emissions (Direct Emissions)</w:t>
      </w:r>
    </w:p>
    <w:p>
      <w:pPr>
        <w:pStyle w:val="FirstParagraph"/>
      </w:pPr>
      <w:r>
        <w:t xml:space="preserve">For this product-level PCF, direct Scope 1 emissions from the manufacturing process are assumed to be negligible as production is likely outsourced to a contract manufacturer, and significant on-site fossil fuel combustion for the direct product manufacturing is not identified. These would typically be covered by the contract manufacturer\'s corporate inventory.</w:t>
      </w:r>
      <w:r>
        <w:t xml:space="preserve"> </w:t>
      </w:r>
      <w:r>
        <w:rPr>
          <w:bCs/>
          <w:b/>
        </w:rPr>
        <w:t xml:space="preserve">Total Scope 1 Emissions: 0.000 kg CO2e</w:t>
      </w:r>
    </w:p>
    <w:bookmarkEnd w:id="36"/>
    <w:bookmarkStart w:id="37" w:name="X74867a7b2c16b8de440578aa3f6074c77be2239"/>
    <w:p>
      <w:pPr>
        <w:pStyle w:val="Heading2"/>
      </w:pPr>
      <w:r>
        <w:t xml:space="preserve">4.2. Scope 2 Emissions (Purchased Electricity for Manufacturing)</w:t>
      </w:r>
    </w:p>
    <w:p>
      <w:pPr>
        <w:pStyle w:val="FirstParagraph"/>
      </w:pPr>
      <w:r>
        <w:t xml:space="preserve">This category accounts for GHG emissions from the generation of purchased electricity consumed during the manufacturing of htuoujhnuq in China.</w:t>
      </w:r>
    </w:p>
    <w:p>
      <w:pPr>
        <w:numPr>
          <w:ilvl w:val="0"/>
          <w:numId w:val="1008"/>
        </w:numPr>
        <w:pStyle w:val="Compact"/>
      </w:pPr>
      <w:r>
        <w:t xml:space="preserve">Non-renewable energy consumption: 0.44 kWh/unit</w:t>
      </w:r>
    </w:p>
    <w:p>
      <w:pPr>
        <w:numPr>
          <w:ilvl w:val="0"/>
          <w:numId w:val="1008"/>
        </w:numPr>
        <w:pStyle w:val="Compact"/>
      </w:pPr>
      <w:r>
        <w:t xml:space="preserve">China Electricity Grid Emission Factor: 0.557 kg CO2e/kWh</w:t>
      </w:r>
    </w:p>
    <w:p>
      <w:pPr>
        <w:numPr>
          <w:ilvl w:val="0"/>
          <w:numId w:val="1008"/>
        </w:numPr>
        <w:pStyle w:val="Compact"/>
      </w:pPr>
      <w:r>
        <w:rPr>
          <w:bCs/>
          <w:b/>
        </w:rPr>
        <w:t xml:space="preserve">Calculation:</w:t>
      </w:r>
      <w:r>
        <w:t xml:space="preserve"> </w:t>
      </w:r>
      <w:r>
        <w:t xml:space="preserve">0.44 kWh/unit * 0.557 kg CO2e/kWh = 0.245 kg CO2e</w:t>
      </w:r>
    </w:p>
    <w:p>
      <w:pPr>
        <w:pStyle w:val="FirstParagraph"/>
      </w:pPr>
      <w:r>
        <w:rPr>
          <w:bCs/>
          <w:b/>
        </w:rPr>
        <w:t xml:space="preserve">Total Scope 2 Emissions: 0.245 kg CO2e</w:t>
      </w:r>
    </w:p>
    <w:bookmarkEnd w:id="37"/>
    <w:bookmarkStart w:id="43" w:name="scope-3-emissions-value-chain-emissions"/>
    <w:p>
      <w:pPr>
        <w:pStyle w:val="Heading2"/>
      </w:pPr>
      <w:r>
        <w:t xml:space="preserve">4.3. Scope 3 Emissions (Value Chain Emissions)</w:t>
      </w:r>
    </w:p>
    <w:p>
      <w:pPr>
        <w:pStyle w:val="FirstParagraph"/>
      </w:pPr>
      <w:r>
        <w:t xml:space="preserve">Scope 3 emissions are typically the most significant for many products and cover all indirect emissions not included in Scope 1 or Scope 2. This analysis covers all relevant Scope 3 categories to achieve over 95% coverage.</w:t>
      </w:r>
    </w:p>
    <w:bookmarkStart w:id="38" w:name="X4eb318cf884fd0d5e8b1e3f55526e2cb341a877"/>
    <w:p>
      <w:pPr>
        <w:pStyle w:val="Heading3"/>
      </w:pPr>
      <w:r>
        <w:t xml:space="preserve">4.3.1. Scope 3, Category 1: Purchased Goods and Services (Materials)</w:t>
      </w:r>
    </w:p>
    <w:p>
      <w:pPr>
        <w:pStyle w:val="FirstParagraph"/>
      </w:pPr>
      <w:r>
        <w:t xml:space="preserve">This includes all upstream emissions from the extraction, production, and manufacturing of raw materials and components as detailed in the BOM. The total embedded emissions from materials amount to 1.020 kg CO2e.</w:t>
      </w:r>
    </w:p>
    <w:p>
      <w:pPr>
        <w:numPr>
          <w:ilvl w:val="0"/>
          <w:numId w:val="1009"/>
        </w:numPr>
        <w:pStyle w:val="Compact"/>
      </w:pPr>
      <w:r>
        <w:rPr>
          <w:bCs/>
          <w:b/>
        </w:rPr>
        <w:t xml:space="preserve">Total Material Embedded Emissions: 1.020 kg CO2e</w:t>
      </w:r>
    </w:p>
    <w:bookmarkEnd w:id="38"/>
    <w:bookmarkStart w:id="39" w:name="X0c46a1a99b25e095689b6b7d33179fb2f4cb54e"/>
    <w:p>
      <w:pPr>
        <w:pStyle w:val="Heading3"/>
      </w:pPr>
      <w:r>
        <w:t xml:space="preserve">4.3.2. Scope 3, Category 4: Upstream Transportation and Distribution</w:t>
      </w:r>
    </w:p>
    <w:p>
      <w:pPr>
        <w:pStyle w:val="FirstParagraph"/>
      </w:pPr>
      <w:r>
        <w:t xml:space="preserve">Emissions from transporting raw materials and finished products from suppliers to the manufacturing facility, and from the manufacturing facility to the main distribution hub in Europe.</w:t>
      </w:r>
    </w:p>
    <w:p>
      <w:pPr>
        <w:numPr>
          <w:ilvl w:val="0"/>
          <w:numId w:val="1010"/>
        </w:numPr>
        <w:pStyle w:val="Compact"/>
      </w:pPr>
      <w:r>
        <w:t xml:space="preserve">Ocean Freight (China to Europe): 0.00022 tonnes * 20,000 km * 0.016 kg CO2e/tonne-km = 0.0704 kg CO2e</w:t>
      </w:r>
    </w:p>
    <w:p>
      <w:pPr>
        <w:numPr>
          <w:ilvl w:val="0"/>
          <w:numId w:val="1010"/>
        </w:numPr>
        <w:pStyle w:val="Compact"/>
      </w:pPr>
      <w:r>
        <w:t xml:space="preserve">Road Freight (European Port to DC): 0.00022 tonnes * 500 km * 0.069 kg CO2e/tonne-km = 0.0076 kg CO2e</w:t>
      </w:r>
    </w:p>
    <w:p>
      <w:pPr>
        <w:numPr>
          <w:ilvl w:val="0"/>
          <w:numId w:val="1010"/>
        </w:numPr>
        <w:pStyle w:val="Compact"/>
      </w:pPr>
      <w:r>
        <w:rPr>
          <w:bCs/>
          <w:b/>
        </w:rPr>
        <w:t xml:space="preserve">Total Upstream Transport Emissions: 0.078 kg CO2e</w:t>
      </w:r>
    </w:p>
    <w:bookmarkEnd w:id="39"/>
    <w:bookmarkStart w:id="40" w:name="Xdd3167f562017f01e1e4cb2f66f6d2fc3f34e8f"/>
    <w:p>
      <w:pPr>
        <w:pStyle w:val="Heading3"/>
      </w:pPr>
      <w:r>
        <w:t xml:space="preserve">4.3.3. Scope 3, Category 9: Downstream Transportation and Distribution (Last-Mile Delivery)</w:t>
      </w:r>
    </w:p>
    <w:p>
      <w:pPr>
        <w:pStyle w:val="FirstParagraph"/>
      </w:pPr>
      <w:r>
        <w:t xml:space="preserve">Emissions from transporting the finished product from the distribution center to the end consumer.</w:t>
      </w:r>
    </w:p>
    <w:p>
      <w:pPr>
        <w:numPr>
          <w:ilvl w:val="0"/>
          <w:numId w:val="1011"/>
        </w:numPr>
        <w:pStyle w:val="Compact"/>
      </w:pPr>
      <w:r>
        <w:t xml:space="preserve">Last-Mile Delivery (Electric Van, allocated): (50 km * 0.05 kg CO2e/km) / 100 products = 0.025 kg CO2e</w:t>
      </w:r>
    </w:p>
    <w:p>
      <w:pPr>
        <w:numPr>
          <w:ilvl w:val="0"/>
          <w:numId w:val="1011"/>
        </w:numPr>
        <w:pStyle w:val="Compact"/>
      </w:pPr>
      <w:r>
        <w:rPr>
          <w:bCs/>
          <w:b/>
        </w:rPr>
        <w:t xml:space="preserve">Total Last-Mile Delivery Emissions: 0.025 kg CO2e</w:t>
      </w:r>
    </w:p>
    <w:bookmarkEnd w:id="40"/>
    <w:bookmarkStart w:id="41" w:name="X01d752beb6d6e5e69e318132dac74c9d53c0b8c"/>
    <w:p>
      <w:pPr>
        <w:pStyle w:val="Heading3"/>
      </w:pPr>
      <w:r>
        <w:t xml:space="preserve">4.3.4. Scope 3, Category 11: Use of Sold Products (Operational Phase)</w:t>
      </w:r>
    </w:p>
    <w:p>
      <w:pPr>
        <w:pStyle w:val="FirstParagraph"/>
      </w:pPr>
      <w:r>
        <w:t xml:space="preserve">Emissions from the energy consumption of the product during its lifespan, based on user-defined parameters.</w:t>
      </w:r>
    </w:p>
    <w:p>
      <w:pPr>
        <w:numPr>
          <w:ilvl w:val="0"/>
          <w:numId w:val="1012"/>
        </w:numPr>
        <w:pStyle w:val="Compact"/>
      </w:pPr>
      <w:r>
        <w:t xml:space="preserve">Total energy consumption over lifespan: 9.125 kWh</w:t>
      </w:r>
    </w:p>
    <w:p>
      <w:pPr>
        <w:numPr>
          <w:ilvl w:val="0"/>
          <w:numId w:val="1012"/>
        </w:numPr>
        <w:pStyle w:val="Compact"/>
      </w:pPr>
      <w:r>
        <w:t xml:space="preserve">Europe Electricity Grid Emission Factor: 0.25 kg CO2e/kWh</w:t>
      </w:r>
    </w:p>
    <w:p>
      <w:pPr>
        <w:numPr>
          <w:ilvl w:val="0"/>
          <w:numId w:val="1012"/>
        </w:numPr>
        <w:pStyle w:val="Compact"/>
      </w:pPr>
      <w:r>
        <w:rPr>
          <w:bCs/>
          <w:b/>
        </w:rPr>
        <w:t xml:space="preserve">Calculation:</w:t>
      </w:r>
      <w:r>
        <w:t xml:space="preserve"> </w:t>
      </w:r>
      <w:r>
        <w:t xml:space="preserve">9.125 kWh * 0.25 kg CO2e/kWh = 2.281 kg CO2e</w:t>
      </w:r>
    </w:p>
    <w:p>
      <w:pPr>
        <w:numPr>
          <w:ilvl w:val="0"/>
          <w:numId w:val="1012"/>
        </w:numPr>
        <w:pStyle w:val="Compact"/>
      </w:pPr>
      <w:r>
        <w:rPr>
          <w:bCs/>
          <w:b/>
        </w:rPr>
        <w:t xml:space="preserve">Total Use Phase Emissions: 2.281 kg CO2e</w:t>
      </w:r>
    </w:p>
    <w:bookmarkEnd w:id="41"/>
    <w:bookmarkStart w:id="42" w:name="X8a83d50c0d89d142371b1cb2678444c0262a9c4"/>
    <w:p>
      <w:pPr>
        <w:pStyle w:val="Heading3"/>
      </w:pPr>
      <w:r>
        <w:t xml:space="preserve">4.3.5. Scope 3, Category 12: End-of-Life Treatment of Sold Products</w:t>
      </w:r>
    </w:p>
    <w:p>
      <w:pPr>
        <w:pStyle w:val="FirstParagraph"/>
      </w:pPr>
      <w:r>
        <w:t xml:space="preserve">Emissions associated with the disposal or recycling of the product at the end of its useful life.</w:t>
      </w:r>
    </w:p>
    <w:p>
      <w:pPr>
        <w:numPr>
          <w:ilvl w:val="0"/>
          <w:numId w:val="1013"/>
        </w:numPr>
        <w:pStyle w:val="Compact"/>
      </w:pPr>
      <w:r>
        <w:t xml:space="preserve">Mass to EoL (non-recyclable): 0.0588 kg</w:t>
      </w:r>
    </w:p>
    <w:p>
      <w:pPr>
        <w:numPr>
          <w:ilvl w:val="0"/>
          <w:numId w:val="1013"/>
        </w:numPr>
        <w:pStyle w:val="Compact"/>
      </w:pPr>
      <w:r>
        <w:t xml:space="preserve">EoL Emission Factor (Landfill/Incineration): 1.5 kg CO2e/kg</w:t>
      </w:r>
    </w:p>
    <w:p>
      <w:pPr>
        <w:numPr>
          <w:ilvl w:val="0"/>
          <w:numId w:val="1013"/>
        </w:numPr>
        <w:pStyle w:val="Compact"/>
      </w:pPr>
      <w:r>
        <w:rPr>
          <w:bCs/>
          <w:b/>
        </w:rPr>
        <w:t xml:space="preserve">Calculation:</w:t>
      </w:r>
      <w:r>
        <w:t xml:space="preserve"> </w:t>
      </w:r>
      <w:r>
        <w:t xml:space="preserve">0.0588 kg * 1.5 kg CO2e/kg = 0.088 kg CO2e</w:t>
      </w:r>
    </w:p>
    <w:p>
      <w:pPr>
        <w:numPr>
          <w:ilvl w:val="0"/>
          <w:numId w:val="1013"/>
        </w:numPr>
        <w:pStyle w:val="Compact"/>
      </w:pPr>
      <w:r>
        <w:rPr>
          <w:bCs/>
          <w:b/>
        </w:rPr>
        <w:t xml:space="preserve">Total End-of-Life Emissions: 0.088 kg CO2e</w:t>
      </w:r>
    </w:p>
    <w:bookmarkEnd w:id="42"/>
    <w:bookmarkEnd w:id="43"/>
    <w:bookmarkStart w:id="44" w:name="summary-of-product-carbon-footprint"/>
    <w:p>
      <w:pPr>
        <w:pStyle w:val="Heading2"/>
      </w:pPr>
      <w:r>
        <w:t xml:space="preserve">4.4. Summary of Product Carbon Footprint</w:t>
      </w:r>
    </w:p>
    <w:p>
      <w:pPr>
        <w:pStyle w:val="FirstParagraph"/>
      </w:pPr>
      <w:r>
        <w:t xml:space="preserve">The aggregated results for the Product Carbon Footprint of htuoujhnuq are presented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0.245</w:t>
            </w:r>
          </w:p>
        </w:tc>
      </w:tr>
      <w:tr>
        <w:tc>
          <w:tcPr>
            <w:vMerge w:val="restart"/>
          </w:tcPr>
          <w:p>
            <w:pPr>
              <w:pStyle w:val="Compact"/>
              <w:jc w:val="left"/>
            </w:pPr>
            <w:r>
              <w:t xml:space="preserve">Scope 3 (Upstream)</w:t>
            </w:r>
          </w:p>
        </w:tc>
        <w:tc>
          <w:tcPr/>
          <w:p>
            <w:pPr>
              <w:pStyle w:val="Compact"/>
              <w:jc w:val="left"/>
            </w:pPr>
            <w:r>
              <w:t xml:space="preserve">Category 1: Purchased Goods and Services (Materials)</w:t>
            </w:r>
          </w:p>
        </w:tc>
        <w:tc>
          <w:tcPr/>
          <w:p>
            <w:pPr>
              <w:pStyle w:val="Compact"/>
              <w:jc w:val="left"/>
            </w:pPr>
            <w:r>
              <w:t xml:space="preserve">1.020</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0.078</w:t>
            </w:r>
          </w:p>
        </w:tc>
      </w:tr>
      <w:tr>
        <w:tc>
          <w:tcPr>
            <w:vMerge w:val="restart"/>
          </w:tcPr>
          <w:p>
            <w:pPr>
              <w:pStyle w:val="Compact"/>
              <w:jc w:val="left"/>
            </w:pPr>
            <w:r>
              <w:t xml:space="preserve">Scope 3 (Downstream)</w:t>
            </w:r>
          </w:p>
        </w:tc>
        <w:tc>
          <w:tcPr/>
          <w:p>
            <w:pPr>
              <w:pStyle w:val="Compact"/>
              <w:jc w:val="left"/>
            </w:pPr>
            <w:r>
              <w:t xml:space="preserve">Category 9: Downstream Transportation and Distribution (Last-Mile)</w:t>
            </w:r>
          </w:p>
        </w:tc>
        <w:tc>
          <w:tcPr/>
          <w:p>
            <w:pPr>
              <w:pStyle w:val="Compact"/>
              <w:jc w:val="left"/>
            </w:pPr>
            <w:r>
              <w:t xml:space="preserve">0.025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2.281</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0.088</w:t>
            </w:r>
          </w:p>
        </w:tc>
      </w:tr>
      <w:tr>
        <w:tc>
          <w:tcPr>
            <w:gridSpan w:val="2"/>
          </w:tcPr>
          <w:p>
            <w:pPr>
              <w:pStyle w:val="Compact"/>
              <w:jc w:val="left"/>
            </w:pPr>
            <w:r>
              <w:t xml:space="preserve">TOTAL PRODUCT CARBON FOOTPRINT (PCF)</w:t>
            </w:r>
          </w:p>
        </w:tc>
        <w:tc>
          <w:tcPr/>
          <w:p>
            <w:pPr>
              <w:pStyle w:val="Compact"/>
              <w:jc w:val="left"/>
            </w:pPr>
            <w:r>
              <w:t xml:space="preserve">3.737</w:t>
            </w:r>
          </w:p>
        </w:tc>
      </w:tr>
    </w:tbl>
    <w:p>
      <w:pPr>
        <w:pStyle w:val="BodyText"/>
      </w:pPr>
      <w:r>
        <w:rPr>
          <w:bCs/>
          <w:b/>
        </w:rPr>
        <w:t xml:space="preserve">Total Product Carbon Footprint for one unit of htuoujhnuq: 3.74 kg CO2e</w:t>
      </w:r>
    </w:p>
    <w:p>
      <w:r>
        <w:pict>
          <v:rect style="width:0;height:1.5pt" o:hralign="center" o:hrstd="t" o:hr="t"/>
        </w:pict>
      </w:r>
    </w:p>
    <w:bookmarkEnd w:id="44"/>
    <w:bookmarkEnd w:id="45"/>
    <w:bookmarkStart w:id="51" w:name="review-and-reporting"/>
    <w:p>
      <w:pPr>
        <w:pStyle w:val="Heading1"/>
      </w:pPr>
      <w:r>
        <w:t xml:space="preserve">5. Review and Reporting</w:t>
      </w:r>
    </w:p>
    <w:bookmarkStart w:id="46" w:name="hotspot-analysis"/>
    <w:p>
      <w:pPr>
        <w:pStyle w:val="Heading2"/>
      </w:pPr>
      <w:r>
        <w:t xml:space="preserve">5.1. Hotspot Analysis</w:t>
      </w:r>
    </w:p>
    <w:p>
      <w:pPr>
        <w:pStyle w:val="FirstParagraph"/>
      </w:pPr>
      <w:r>
        <w:t xml:space="preserve">Based on the calculations, the primary emission hotspots for htuoujhnuq are:</w:t>
      </w:r>
    </w:p>
    <w:p>
      <w:pPr>
        <w:numPr>
          <w:ilvl w:val="0"/>
          <w:numId w:val="1014"/>
        </w:numPr>
        <w:pStyle w:val="Compact"/>
      </w:pPr>
      <w:r>
        <w:rPr>
          <w:bCs/>
          <w:b/>
        </w:rPr>
        <w:t xml:space="preserve">Use Phase (61.0% of total PCF):</w:t>
      </w:r>
      <w:r>
        <w:t xml:space="preserve"> </w:t>
      </w:r>
      <w:r>
        <w:t xml:space="preserve">The significant contribution comes from the continuous energy consumption over the product\'s 5-year lifespan, despite low daily consumption. This highlights the importance of energy efficiency and the carbon intensity of the electricity grid where the product is used.</w:t>
      </w:r>
    </w:p>
    <w:p>
      <w:pPr>
        <w:numPr>
          <w:ilvl w:val="0"/>
          <w:numId w:val="1014"/>
        </w:numPr>
        <w:pStyle w:val="Compact"/>
      </w:pPr>
      <w:r>
        <w:rPr>
          <w:bCs/>
          <w:b/>
        </w:rPr>
        <w:t xml:space="preserve">Purchased Goods and Services - Materials (27.3% of total PCF):</w:t>
      </w:r>
      <w:r>
        <w:t xml:space="preserve"> </w:t>
      </w:r>
      <w:r>
        <w:t xml:space="preserve">High-impact components such as the Silicon Microcontroller and ABS plastic casing contribute significantly.</w:t>
      </w:r>
    </w:p>
    <w:p>
      <w:pPr>
        <w:numPr>
          <w:ilvl w:val="0"/>
          <w:numId w:val="1014"/>
        </w:numPr>
        <w:pStyle w:val="Compact"/>
      </w:pPr>
      <w:r>
        <w:rPr>
          <w:bCs/>
          <w:b/>
        </w:rPr>
        <w:t xml:space="preserve">Manufacturing Energy (6.5% of total PCF):</w:t>
      </w:r>
      <w:r>
        <w:t xml:space="preserve"> </w:t>
      </w:r>
      <w:r>
        <w:t xml:space="preserve">Although 45% renewable energy is used, the remaining non-renewable portion and the China grid\'s carbon intensity contribute notably.</w:t>
      </w:r>
    </w:p>
    <w:bookmarkEnd w:id="46"/>
    <w:bookmarkStart w:id="47" w:name="reliability-and-limitations"/>
    <w:p>
      <w:pPr>
        <w:pStyle w:val="Heading2"/>
      </w:pPr>
      <w:r>
        <w:t xml:space="preserve">5.2. Reliability and Limitations</w:t>
      </w:r>
    </w:p>
    <w:p>
      <w:pPr>
        <w:pStyle w:val="FirstParagraph"/>
      </w:pPr>
      <w:r>
        <w:t xml:space="preserve">The reliability of this PCF report is high given the detailed input parameters provided. However, like all lifecycle assessments, it is subject to certain limitations:</w:t>
      </w:r>
    </w:p>
    <w:p>
      <w:pPr>
        <w:numPr>
          <w:ilvl w:val="0"/>
          <w:numId w:val="1015"/>
        </w:numPr>
        <w:pStyle w:val="Compact"/>
      </w:pPr>
      <w:r>
        <w:rPr>
          <w:bCs/>
          <w:b/>
        </w:rPr>
        <w:t xml:space="preserve">Secondary Data:</w:t>
      </w:r>
      <w:r>
        <w:t xml:space="preserve"> </w:t>
      </w:r>
      <w:r>
        <w:t xml:space="preserve">While specific input data was provided, some emission factors for general processes (e.g., transport, electricity grids, EoL treatment) are based on industry-average secondary data (e.g., Ecoinvent, DEFRA, IEA estimates). The accuracy could be further enhanced with primary data from specific suppliers.</w:t>
      </w:r>
    </w:p>
    <w:p>
      <w:pPr>
        <w:numPr>
          <w:ilvl w:val="0"/>
          <w:numId w:val="1015"/>
        </w:numPr>
        <w:pStyle w:val="Compact"/>
      </w:pPr>
      <w:r>
        <w:rPr>
          <w:bCs/>
          <w:b/>
        </w:rPr>
        <w:t xml:space="preserve">Allocation Simplifications:</w:t>
      </w:r>
      <w:r>
        <w:t xml:space="preserve"> </w:t>
      </w:r>
      <w:r>
        <w:t xml:space="preserve">For multi-product transport, allocation by mass was used, which is a common but sometimes simplifying assumption.</w:t>
      </w:r>
    </w:p>
    <w:p>
      <w:pPr>
        <w:numPr>
          <w:ilvl w:val="0"/>
          <w:numId w:val="1015"/>
        </w:numPr>
        <w:pStyle w:val="Compact"/>
      </w:pPr>
      <w:r>
        <w:rPr>
          <w:bCs/>
          <w:b/>
        </w:rPr>
        <w:t xml:space="preserve">LSR Implementation:</w:t>
      </w:r>
      <w:r>
        <w:t xml:space="preserve"> </w:t>
      </w:r>
      <w:r>
        <w:t xml:space="preserve">While the LSR standard is acknowledged, a full, detailed LSR assessment would require granular data on land-use change for every material\'s origin, which is beyond the scope of this product-level PCF. General material emission factors are assumed to embed relevant land impacts.</w:t>
      </w:r>
    </w:p>
    <w:p>
      <w:pPr>
        <w:numPr>
          <w:ilvl w:val="0"/>
          <w:numId w:val="1015"/>
        </w:numPr>
        <w:pStyle w:val="Compact"/>
      </w:pPr>
      <w:r>
        <w:rPr>
          <w:bCs/>
          <w:b/>
        </w:rPr>
        <w:t xml:space="preserve">Dynamic Grid Mix:</w:t>
      </w:r>
      <w:r>
        <w:t xml:space="preserve"> </w:t>
      </w:r>
      <w:r>
        <w:t xml:space="preserve">Electricity grid emission factors are averages and do not account for real-time grid fluctuations or specific energy procurement mixes beyond the stated renewable energy usage.</w:t>
      </w:r>
    </w:p>
    <w:p>
      <w:pPr>
        <w:numPr>
          <w:ilvl w:val="0"/>
          <w:numId w:val="1015"/>
        </w:numPr>
        <w:pStyle w:val="Compact"/>
      </w:pPr>
      <w:r>
        <w:rPr>
          <w:bCs/>
          <w:b/>
        </w:rPr>
        <w:t xml:space="preserve">End-of-Life:</w:t>
      </w:r>
      <w:r>
        <w:t xml:space="preserve"> </w:t>
      </w:r>
      <w:r>
        <w:t xml:space="preserve">The EoL calculation focuses on emissions from non-recycled waste. A full accounting of recycling benefits (avoided virgin material production) can be complex and requires specific LCI data for each recycling process. The stated circular programs, while mitigating, are not fully quantitatively modeled in terms of avoided emissions beyond the recyclability percentage.</w:t>
      </w:r>
    </w:p>
    <w:bookmarkEnd w:id="47"/>
    <w:bookmarkStart w:id="50" w:name="recommendations-for-emission-reduction"/>
    <w:p>
      <w:pPr>
        <w:pStyle w:val="Heading2"/>
      </w:pPr>
      <w:r>
        <w:t xml:space="preserve">5.3. Recommendations for Emission Reduction</w:t>
      </w:r>
    </w:p>
    <w:p>
      <w:pPr>
        <w:numPr>
          <w:ilvl w:val="0"/>
          <w:numId w:val="1016"/>
        </w:numPr>
        <w:pStyle w:val="Compact"/>
      </w:pPr>
      <w:r>
        <w:rPr>
          <w:bCs/>
          <w:b/>
        </w:rPr>
        <w:t xml:space="preserve">Energy Efficiency in Use:</w:t>
      </w:r>
      <w:r>
        <w:t xml:space="preserve"> </w:t>
      </w:r>
      <w:r>
        <w:t xml:space="preserve">Investigate opportunities to further reduce the product\'s energy consumption during the use phase. This is the largest hotspot.</w:t>
      </w:r>
    </w:p>
    <w:p>
      <w:pPr>
        <w:numPr>
          <w:ilvl w:val="0"/>
          <w:numId w:val="1016"/>
        </w:numPr>
        <w:pStyle w:val="Compact"/>
      </w:pPr>
      <w:r>
        <w:rPr>
          <w:bCs/>
          <w:b/>
        </w:rPr>
        <w:t xml:space="preserve">Renewable Energy Procurement:</w:t>
      </w:r>
      <w:r>
        <w:t xml:space="preserve"> </w:t>
      </w:r>
      <w:r>
        <w:t xml:space="preserve">Explore options for increasing renewable energy usage in manufacturing operations and across the supply chain, particularly for high-impact suppliers in China.</w:t>
      </w:r>
    </w:p>
    <w:p>
      <w:pPr>
        <w:numPr>
          <w:ilvl w:val="0"/>
          <w:numId w:val="1016"/>
        </w:numPr>
        <w:pStyle w:val="Compact"/>
      </w:pPr>
      <w:r>
        <w:rPr>
          <w:bCs/>
          <w:b/>
        </w:rPr>
        <w:t xml:space="preserve">Material Optimization:</w:t>
      </w:r>
      <w:r>
        <w:t xml:space="preserve"> </w:t>
      </w:r>
      <w:r>
        <w:t xml:space="preserve">Research lower-carbon alternative materials for the ABS casing and explore design changes to reduce the mass or improve the recyclability of high-impact components like silicon microcontrollers and batteries.</w:t>
      </w:r>
    </w:p>
    <w:p>
      <w:pPr>
        <w:numPr>
          <w:ilvl w:val="0"/>
          <w:numId w:val="1016"/>
        </w:numPr>
        <w:pStyle w:val="Compact"/>
      </w:pPr>
      <w:r>
        <w:rPr>
          <w:bCs/>
          <w:b/>
        </w:rPr>
        <w:t xml:space="preserve">Supply Chain Engagement:</w:t>
      </w:r>
      <w:r>
        <w:t xml:space="preserve"> </w:t>
      </w:r>
      <w:r>
        <w:t xml:space="preserve">Work with key suppliers (especially for electronics) to identify opportunities for reducing embedded emissions in purchased goods.</w:t>
      </w:r>
    </w:p>
    <w:p>
      <w:pPr>
        <w:numPr>
          <w:ilvl w:val="0"/>
          <w:numId w:val="1016"/>
        </w:numPr>
        <w:pStyle w:val="Compact"/>
      </w:pPr>
      <w:r>
        <w:rPr>
          <w:bCs/>
          <w:b/>
        </w:rPr>
        <w:t xml:space="preserve">Enhance Circularity:</w:t>
      </w:r>
      <w:r>
        <w:t xml:space="preserve"> </w:t>
      </w:r>
      <w:r>
        <w:t xml:space="preserve">Expand and promote take-back and refurbishment programs to increase the effective lifespan of products and reduce reliance on virgin materials, going beyond the 60% recyclability target.</w:t>
      </w:r>
    </w:p>
    <w:p>
      <w:r>
        <w:pict>
          <v:rect style="width:0;height:1.5pt" o:hralign="center" o:hrstd="t" o:hr="t"/>
        </w:pict>
      </w:r>
    </w:p>
    <w:p>
      <w:pPr>
        <w:pStyle w:val="FirstParagraph"/>
      </w:pPr>
      <w:r>
        <w:t xml:space="preserve">Confidential - Internal Use Only | Page</w:t>
      </w:r>
      <w:r>
        <w:t xml:space="preserve"> </w:t>
      </w:r>
      <w:bookmarkStart w:id="48" w:name="pageNumber"/>
      <w:bookmarkEnd w:id="48"/>
      <w:r>
        <w:t xml:space="preserve"> </w:t>
      </w:r>
      <w:r>
        <w:t xml:space="preserve">of</w:t>
      </w:r>
      <w:r>
        <w:t xml:space="preserve"> </w:t>
      </w:r>
      <w:bookmarkStart w:id="49" w:name="totalPages"/>
      <w:bookmarkEnd w:id="49"/>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htuoujhnuq</dc:title>
  <dc:creator/>
  <dc:description>Detailed Product Carbon Footprint (PCF) analysis for Smart Home Sensor (htuoujhnuq) for nowrpjjlhf, adhering to GHG Protocol standards and 2026 LSR updates.</dc:description>
  <dc:language>en</dc:language>
  <cp:keywords/>
  <dcterms:created xsi:type="dcterms:W3CDTF">2026-07-15T06:06:05Z</dcterms:created>
  <dcterms:modified xsi:type="dcterms:W3CDTF">2026-07-15T06:06:05Z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