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htozmmvidr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htozmmvidr</w:t>
      </w:r>
    </w:p>
    <w:p>
      <w:pPr>
        <w:pStyle w:val="BodyText"/>
      </w:pPr>
      <w:r>
        <w:rPr>
          <w:bCs/>
          <w:b/>
        </w:rPr>
        <w:t xml:space="preserve">Name of the Company:</w:t>
      </w:r>
      <w:r>
        <w:t xml:space="preserve"> </w:t>
      </w:r>
      <w:r>
        <w:t xml:space="preserve">msefkpzqxh</w:t>
      </w:r>
    </w:p>
    <w:p>
      <w:pPr>
        <w:pStyle w:val="BodyText"/>
      </w:pPr>
      <w:r>
        <w:rPr>
          <w:bCs/>
          <w:b/>
        </w:rPr>
        <w:t xml:space="preserve">Senior Sustainability Consultant:</w:t>
      </w:r>
      <w:r>
        <w:t xml:space="preserve"> </w:t>
      </w:r>
      <w:r>
        <w:t xml:space="preserve">rxkilzwzji</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illustrative values for placeholder parameters. While every effort has been made to ensure accuracy within these constraints, actual emissions may vary based on precise primary data and real-world operational conditions.</w:t>
      </w:r>
    </w:p>
    <w:bookmarkEnd w:id="20"/>
    <w:bookmarkStart w:id="54" w:name="Xfd4c8bd8d81553cfa8475335630640334d578db"/>
    <w:p>
      <w:pPr>
        <w:pStyle w:val="Heading1"/>
      </w:pPr>
      <w:r>
        <w:t xml:space="preserve">Product Carbon Footprint Analysis Report for htozmmvidr</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rxkilzwzji</w:t>
      </w:r>
    </w:p>
    <w:p>
      <w:pPr>
        <w:pStyle w:val="BodyText"/>
      </w:pPr>
      <w:r>
        <w:rPr>
          <w:bCs/>
          <w:b/>
        </w:rPr>
        <w:t xml:space="preserve">Company Name:</w:t>
      </w:r>
      <w:r>
        <w:t xml:space="preserve"> </w:t>
      </w:r>
      <w:r>
        <w:t xml:space="preserve">msefkpzqxh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htozmmvidr</w:t>
      </w:r>
      <w:r>
        <w:t xml:space="preserve">, manufactured by</w:t>
      </w:r>
      <w:r>
        <w:t xml:space="preserve"> </w:t>
      </w:r>
      <w:r>
        <w:rPr>
          <w:bCs/>
          <w:b/>
        </w:rPr>
        <w:t xml:space="preserve">msefkpzqxh</w:t>
      </w:r>
      <w:r>
        <w:t xml:space="preserve">. The analysis adheres to the GHG Protocol Product Standard, categorizing emissions into Scope 1, Scope 2, and Scope 3 across the product\'s lifecycle. The objective is to quantify the greenhouse gas (GHG) emissions associated with the product from raw material acquisition to end-of-life, identify emission hotspots, and provide a foundation for sustainability improvements. This analysis incorporates the latest GHG Protocol updates, including the consideration of the 2026 Land Sector and Removals (LSR) Standard and stringent Scope 3 coverage requirements. The total Product Carbon Footprint for one functional unit of htozmmvidr is calculated as an illustrative example, highlighting key areas for emission reduction.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htozmmvidr</w:t>
      </w:r>
      <w:r>
        <w:t xml:space="preserve">. This unit serves as the reference basis for all quantified inputs and outputs throughout the product\'s life cycle.</w:t>
      </w:r>
    </w:p>
    <w:bookmarkEnd w:id="22"/>
    <w:bookmarkStart w:id="23" w:name="system-boundary"/>
    <w:p>
      <w:pPr>
        <w:pStyle w:val="Heading3"/>
      </w:pPr>
      <w:r>
        <w:t xml:space="preserve">System Boundary:</w:t>
      </w:r>
    </w:p>
    <w:p>
      <w:pPr>
        <w:pStyle w:val="FirstParagraph"/>
      </w:pPr>
      <w:r>
        <w:t xml:space="preserve">The primary system boundary is defined as</w:t>
      </w:r>
      <w:r>
        <w:t xml:space="preserve"> </w:t>
      </w:r>
      <w:r>
        <w:rPr>
          <w:bCs/>
          <w:b/>
        </w:rPr>
        <w:t xml:space="preserve">factory_gate</w:t>
      </w:r>
      <w:r>
        <w:t xml:space="preserve"> </w:t>
      </w:r>
      <w:r>
        <w:t xml:space="preserve">for direct production emissions. However, to provide a comprehensive "Cradle-to-Customer-and-End-of-Life" perspective in line with best PCF practices and the user\'s explicit request for transport, use phase, and end-of-life data, the analysis extends beyond the factory gate to include downstream transportation, the product\'s use phase, and its end-of-life treatment. This expanded scope ensures a holistic understanding of the product\'s environmental impact across its entire value chain.</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of the finished product to European markets)</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This standard provides a comprehensive framework for quantifying and reporting the GHG emissions of individual products, ensuring consistency, transparency, and comparability.</w:t>
      </w:r>
    </w:p>
    <w:bookmarkEnd w:id="25"/>
    <w:bookmarkStart w:id="26" w:name="allocation"/>
    <w:p>
      <w:pPr>
        <w:pStyle w:val="Heading3"/>
      </w:pPr>
      <w:r>
        <w:t xml:space="preserve">Allocation:</w:t>
      </w:r>
    </w:p>
    <w:p>
      <w:pPr>
        <w:pStyle w:val="FirstParagraph"/>
      </w:pPr>
      <w:r>
        <w:t xml:space="preserve">Emissions are allocated to the functional unit based on mass and economic allocation principles where co-products or by-products may occur, consistent with GHG Protocol guidance. Specific allocation methods are applied to shared processes and multi-functional facilities to ensure that only the emissions directly attributable to the production of htozmmvidr are included in its footprint.</w:t>
      </w:r>
    </w:p>
    <w:p>
      <w:r>
        <w:pict>
          <v:rect style="width:0;height:1.5pt" o:hralign="center" o:hrstd="t" o:hr="t"/>
        </w:pict>
      </w:r>
    </w:p>
    <w:bookmarkEnd w:id="26"/>
    <w:bookmarkEnd w:id="27"/>
    <w:bookmarkStart w:id="35" w:name="X668a29dea6996859d52024a913312988ccfa3c9"/>
    <w:p>
      <w:pPr>
        <w:pStyle w:val="Heading2"/>
      </w:pPr>
      <w:r>
        <w:t xml:space="preserve">2. Map Lifecycle (LCI Inventory Stages) &amp; 3. Collect Data</w:t>
      </w:r>
    </w:p>
    <w:p>
      <w:pPr>
        <w:pStyle w:val="FirstParagraph"/>
      </w:pPr>
      <w:r>
        <w:t xml:space="preserve">The lifecycle of htozmmvidr is mapped across five primary stages: Material Acquisition &amp; Pre-processing, Production, Transportation &amp; Distribution, Use Phase, and End-of-Life. Data collection involves both primary data (where available, for illustrative parameters) and secondary data (industry-average emission factors).</w:t>
      </w:r>
    </w:p>
    <w:bookmarkStart w:id="29" w:name="X4dafafe4a63eba5025fca8fd479a2f5da492c68"/>
    <w:p>
      <w:pPr>
        <w:pStyle w:val="Heading3"/>
      </w:pPr>
      <w:r>
        <w:t xml:space="preserve">2.1. Material Acquisition &amp; Pre-processing (Upstream - Scope 3, Category 1)</w:t>
      </w:r>
    </w:p>
    <w:p>
      <w:pPr>
        <w:pStyle w:val="FirstParagraph"/>
      </w:pPr>
      <w:r>
        <w:t xml:space="preserve">This stage includes the extraction, processing, and manufacturing of all raw materials and components used in htozmmvidr. The Detailed Bill of Materials (BOM) provided by the user is used for high-accuracy material impact calculation. Illustrative emission factors are derived from industry-standard databases such as Ecoinvent and DEFRA.</w:t>
      </w:r>
    </w:p>
    <w:bookmarkStart w:id="28" w:name="Xfb866716df7bdbb437c61abc5dbc56b72852631"/>
    <w:p>
      <w:pPr>
        <w:pStyle w:val="Heading4"/>
      </w:pPr>
      <w:r>
        <w:t xml:space="preserve">Detailed Bill of Materials (BOM) for htozmmvidr</w:t>
      </w:r>
    </w:p>
    <w:p>
      <w:pPr>
        <w:pStyle w:val="FirstParagraph"/>
      </w:pPr>
      <w:r>
        <w:t xml:space="preserve">The following table presents the Bill of Materials (BOM) for one unit of htozmmvidr, including the provided quantities, emission factors, and calculated total carbon impact for each component. The \'Emission Factor\' (kg CO2e/unit) refers to the GHG emissions associated with producing one unit of the material/component. The \'Total Carbon (Provided)\' column reflects the value as given in the prompt\'s BOM string for comparison with the \'Calculated Total Carbon\'.</w:t>
      </w:r>
    </w:p>
    <w:tbl>
      <w:tblPr>
        <w:tblStyle w:val="Table"/>
        <w:tblW w:type="auto" w:w="0"/>
        <w:tblLook w:firstRow="1" w:lastRow="1"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(Provided, kg CO2e)</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w:t>
            </w:r>
          </w:p>
        </w:tc>
        <w:tc>
          <w:tcPr/>
          <w:p>
            <w:pPr>
              <w:pStyle w:val="Compact"/>
              <w:jc w:val="left"/>
            </w:pPr>
            <w:r>
              <w:t xml:space="preserve">1.70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c>
          <w:tcPr/>
          <w:p>
            <w:pPr>
              <w:pStyle w:val="Compact"/>
              <w:jc w:val="left"/>
            </w:pPr>
            <w:r>
              <w:t xml:space="preserve">0.12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c>
          <w:tcPr/>
          <w:p>
            <w:pPr>
              <w:pStyle w:val="Compact"/>
              <w:jc w:val="left"/>
            </w:pPr>
            <w:r>
              <w:t xml:space="preserve">0.025</w:t>
            </w:r>
          </w:p>
        </w:tc>
      </w:tr>
      <w:tr>
        <w:tc>
          <w:tcPr>
            <w:gridSpan w:val="8"/>
          </w:tcPr>
          <w:p>
            <w:pPr>
              <w:pStyle w:val="Compact"/>
              <w:jc w:val="right"/>
            </w:pPr>
            <w:r>
              <w:rPr>
                <w:bCs/>
                <w:b/>
              </w:rPr>
              <w:t xml:space="preserve">Total Material Footprint (kg CO2e):</w:t>
            </w:r>
          </w:p>
        </w:tc>
        <w:tc>
          <w:tcPr/>
          <w:p>
            <w:pPr>
              <w:pStyle w:val="Compact"/>
              <w:jc w:val="left"/>
            </w:pPr>
            <w:r>
              <w:rPr>
                <w:bCs/>
                <w:b/>
              </w:rPr>
              <w:t xml:space="preserve">3.195</w:t>
            </w:r>
          </w:p>
        </w:tc>
      </w:tr>
    </w:tbl>
    <w:p>
      <w:pPr>
        <w:pStyle w:val="BodyText"/>
      </w:pPr>
      <w:r>
        <w:t xml:space="preserve">The total illustrative emission from purchased goods and services (materials) is 3.195 kg CO2e. This constitutes a significant portion of the product\'s upstream footprint.</w:t>
      </w:r>
    </w:p>
    <w:bookmarkEnd w:id="28"/>
    <w:bookmarkEnd w:id="29"/>
    <w:bookmarkStart w:id="30" w:name="X39c67093b182a53d06f331dd383986b86dc6f88"/>
    <w:p>
      <w:pPr>
        <w:pStyle w:val="Heading3"/>
      </w:pPr>
      <w:r>
        <w:t xml:space="preserve">2.2. Production Phase (Direct &amp; Indirect Emissions - Scope 1 &amp; 2)</w:t>
      </w:r>
    </w:p>
    <w:p>
      <w:pPr>
        <w:pStyle w:val="FirstParagraph"/>
      </w:pPr>
      <w:r>
        <w:t xml:space="preserve">This phase covers the energy consumption during the manufacturing and assembly of htozmmvidr at msefkpzqxh\'s facilities in China. For the purpose of this PCF, direct emissions (Scope 1) from on-site fuel combustion or processes controlled by msefkpzqxh are assumed to be negligible for the production of a single unit of htozmmvidr, as the primary energy impact is from purchased electricity.</w:t>
      </w:r>
    </w:p>
    <w:p>
      <w:pPr>
        <w:numPr>
          <w:ilvl w:val="0"/>
          <w:numId w:val="1002"/>
        </w:numPr>
        <w:pStyle w:val="Compact"/>
      </w:pPr>
      <w:r>
        <w:rPr>
          <w:bCs/>
          <w:b/>
        </w:rPr>
        <w:t xml:space="preserve">Energy Intensity (kWh/unit):</w:t>
      </w:r>
      <w:r>
        <w:t xml:space="preserve"> </w:t>
      </w:r>
      <w:r>
        <w:t xml:space="preserve">epwhzilvvr (Assumed: 0.5 kWh/unit)</w:t>
      </w:r>
    </w:p>
    <w:p>
      <w:pPr>
        <w:numPr>
          <w:ilvl w:val="0"/>
          <w:numId w:val="1002"/>
        </w:numPr>
        <w:pStyle w:val="Compact"/>
      </w:pPr>
      <w:r>
        <w:rPr>
          <w:bCs/>
          <w:b/>
        </w:rPr>
        <w:t xml:space="preserve">Renewable Energy Usage:</w:t>
      </w:r>
      <w:r>
        <w:t xml:space="preserve"> </w:t>
      </w:r>
      <w:r>
        <w:t xml:space="preserve">nviyrirhpy (Assumed: 70%)</w:t>
      </w:r>
    </w:p>
    <w:p>
      <w:pPr>
        <w:pStyle w:val="FirstParagraph"/>
      </w:pPr>
      <w:r>
        <w:t xml:space="preserve">To calculate the grid electricity factor for China, we assume a blended approach. If 70% of electricity comes from renewable sources (assumed 0 kgCO2e/kWh), and the remaining 30% from the national grid (illustrative average China grid mix factor of 0.8 kgCO2e/kWh), the effective emission factor for purchased electricity becomes:</w:t>
      </w:r>
    </w:p>
    <w:p>
      <w:pPr>
        <w:pStyle w:val="BodyText"/>
      </w:pPr>
      <w:r>
        <w:t xml:space="preserve">Blended Grid Emission Factor = (1 - 0.70) * 0.8 kgCO2e/kWh = 0.3 * 0.8 = 0.24 kgCO2e/kWh (Illustrative, based on DEFRA/Ecoinvent general values).</w:t>
      </w:r>
    </w:p>
    <w:bookmarkEnd w:id="30"/>
    <w:bookmarkStart w:id="31" w:name="X1aba12e767cf943a5f815dc779ff8a22eed13a2"/>
    <w:p>
      <w:pPr>
        <w:pStyle w:val="Heading3"/>
      </w:pPr>
      <w:r>
        <w:t xml:space="preserve">2.3. Transportation &amp; Distribution (Scope 3, Category 4 &amp; 9)</w:t>
      </w:r>
    </w:p>
    <w:p>
      <w:pPr>
        <w:pStyle w:val="FirstParagraph"/>
      </w:pPr>
      <w:r>
        <w:t xml:space="preserve">This stage includes emissions from transporting raw materials to the production facility (upstream) and the finished product from the factory to the end-customer (downstream).</w:t>
      </w:r>
    </w:p>
    <w:p>
      <w:pPr>
        <w:numPr>
          <w:ilvl w:val="0"/>
          <w:numId w:val="1003"/>
        </w:numPr>
        <w:pStyle w:val="Compact"/>
      </w:pPr>
      <w:r>
        <w:rPr>
          <w:bCs/>
          <w:b/>
        </w:rPr>
        <w:t xml:space="preserve">Illustrative Product Mass (for transport calculations):</w:t>
      </w:r>
      <w:r>
        <w:t xml:space="preserve"> </w:t>
      </w:r>
      <w:r>
        <w:t xml:space="preserve">1.0 kg (to encompass materials and final product weight)</w:t>
      </w:r>
    </w:p>
    <w:p>
      <w:pPr>
        <w:numPr>
          <w:ilvl w:val="0"/>
          <w:numId w:val="1003"/>
        </w:numPr>
        <w:pStyle w:val="Compact"/>
      </w:pPr>
      <w:r>
        <w:rPr>
          <w:bCs/>
          <w:b/>
        </w:rPr>
        <w:t xml:space="preserve">Transport Mode (main leg, assumed):</w:t>
      </w:r>
      <w:r>
        <w:t xml:space="preserve"> </w:t>
      </w:r>
      <w:r>
        <w:t xml:space="preserve">Road (Heavy Duty Truck)</w:t>
      </w:r>
    </w:p>
    <w:p>
      <w:pPr>
        <w:numPr>
          <w:ilvl w:val="0"/>
          <w:numId w:val="1003"/>
        </w:numPr>
        <w:pStyle w:val="Compact"/>
      </w:pPr>
      <w:r>
        <w:rPr>
          <w:bCs/>
          <w:b/>
        </w:rPr>
        <w:t xml:space="preserve">Transport Distance (main leg, assumed):</w:t>
      </w:r>
      <w:r>
        <w:t xml:space="preserve"> </w:t>
      </w:r>
      <w:r>
        <w:t xml:space="preserve">muqhidewlk (1500 km)</w:t>
      </w:r>
    </w:p>
    <w:p>
      <w:pPr>
        <w:numPr>
          <w:ilvl w:val="0"/>
          <w:numId w:val="1003"/>
        </w:numPr>
        <w:pStyle w:val="Compact"/>
      </w:pPr>
      <w:r>
        <w:rPr>
          <w:bCs/>
          <w:b/>
        </w:rPr>
        <w:t xml:space="preserve">Last-Mile Delivery Channel (assumed):</w:t>
      </w:r>
      <w:r>
        <w:t xml:space="preserve"> </w:t>
      </w:r>
      <w:r>
        <w:t xml:space="preserve">Delivery Type (Road - Light Duty Van)</w:t>
      </w:r>
    </w:p>
    <w:p>
      <w:pPr>
        <w:numPr>
          <w:ilvl w:val="0"/>
          <w:numId w:val="1003"/>
        </w:numPr>
        <w:pStyle w:val="Compact"/>
      </w:pPr>
      <w:r>
        <w:rPr>
          <w:bCs/>
          <w:b/>
        </w:rPr>
        <w:t xml:space="preserve">Last-Mile Delivery Distance (assumed):</w:t>
      </w:r>
      <w:r>
        <w:t xml:space="preserve"> </w:t>
      </w:r>
      <w:r>
        <w:t xml:space="preserve">100 km (Illustrative)</w:t>
      </w:r>
    </w:p>
    <w:p>
      <w:pPr>
        <w:pStyle w:val="FirstParagraph"/>
      </w:pPr>
      <w:r>
        <w:t xml:space="preserve">Illustrative Emission Factors for Transport:</w:t>
      </w:r>
    </w:p>
    <w:p>
      <w:pPr>
        <w:numPr>
          <w:ilvl w:val="0"/>
          <w:numId w:val="1004"/>
        </w:numPr>
        <w:pStyle w:val="Compact"/>
      </w:pPr>
      <w:r>
        <w:t xml:space="preserve">Road Transport (Heavy Duty Truck): 0.1 kg CO2e/tkm (tonne-kilometer)</w:t>
      </w:r>
    </w:p>
    <w:p>
      <w:pPr>
        <w:numPr>
          <w:ilvl w:val="0"/>
          <w:numId w:val="1004"/>
        </w:numPr>
        <w:pStyle w:val="Compact"/>
      </w:pPr>
      <w:r>
        <w:t xml:space="preserve">Road Transport (Light Duty Van): 0.15 kg CO2e/tkm</w:t>
      </w:r>
    </w:p>
    <w:bookmarkEnd w:id="31"/>
    <w:bookmarkStart w:id="32" w:name="X01fffecb4d51cf9638741502492363d57dc681a"/>
    <w:p>
      <w:pPr>
        <w:pStyle w:val="Heading3"/>
      </w:pPr>
      <w:r>
        <w:t xml:space="preserve">2.4. Use Phase (Downstream - Scope 3, Category 11)</w:t>
      </w:r>
    </w:p>
    <w:p>
      <w:pPr>
        <w:pStyle w:val="FirstParagraph"/>
      </w:pPr>
      <w:r>
        <w:t xml:space="preserve">This phase accounts for the energy consumed by the product during its expected lifespan, typically for electronic devices or appliances. For htozmmvidr, we consider electricity consumption.</w:t>
      </w:r>
    </w:p>
    <w:p>
      <w:pPr>
        <w:numPr>
          <w:ilvl w:val="0"/>
          <w:numId w:val="1005"/>
        </w:numPr>
        <w:pStyle w:val="Compact"/>
      </w:pPr>
      <w:r>
        <w:rPr>
          <w:bCs/>
          <w:b/>
        </w:rPr>
        <w:t xml:space="preserve">Product Lifespan:</w:t>
      </w:r>
      <w:r>
        <w:t xml:space="preserve"> </w:t>
      </w:r>
      <w:r>
        <w:t xml:space="preserve">tlwdfhzshe (Assumed: 5 years)</w:t>
      </w:r>
    </w:p>
    <w:p>
      <w:pPr>
        <w:numPr>
          <w:ilvl w:val="0"/>
          <w:numId w:val="1005"/>
        </w:numPr>
        <w:pStyle w:val="Compact"/>
      </w:pPr>
      <w:r>
        <w:rPr>
          <w:bCs/>
          <w:b/>
        </w:rPr>
        <w:t xml:space="preserve">Energy Consumption in Use:</w:t>
      </w:r>
      <w:r>
        <w:t xml:space="preserve"> </w:t>
      </w:r>
      <w:r>
        <w:t xml:space="preserve">klwiymrmdg (Assumed: 10 kWh/year)</w:t>
      </w:r>
    </w:p>
    <w:p>
      <w:pPr>
        <w:pStyle w:val="FirstParagraph"/>
      </w:pPr>
      <w:r>
        <w:t xml:space="preserve">The electricity consumed during the use phase is assumed to come from the typical European grid mix (illustrative average factor of 0.25 kgCO2e/kWh for simplicity).</w:t>
      </w:r>
    </w:p>
    <w:bookmarkEnd w:id="32"/>
    <w:bookmarkStart w:id="33" w:name="Xfd069e7e5106f6c55e532b52df751e12046219f"/>
    <w:p>
      <w:pPr>
        <w:pStyle w:val="Heading3"/>
      </w:pPr>
      <w:r>
        <w:t xml:space="preserve">2.5. End-of-Life (Downstream - Scope 3, Category 12)</w:t>
      </w:r>
    </w:p>
    <w:p>
      <w:pPr>
        <w:pStyle w:val="FirstParagraph"/>
      </w:pPr>
      <w:r>
        <w:t xml:space="preserve">This stage covers the emissions associated with the disposal or recycling of the product and its packaging at the end of its useful life.</w:t>
      </w:r>
    </w:p>
    <w:p>
      <w:pPr>
        <w:numPr>
          <w:ilvl w:val="0"/>
          <w:numId w:val="1006"/>
        </w:numPr>
        <w:pStyle w:val="Compact"/>
      </w:pPr>
      <w:r>
        <w:rPr>
          <w:bCs/>
          <w:b/>
        </w:rPr>
        <w:t xml:space="preserve">Recyclability Percentage:</w:t>
      </w:r>
      <w:r>
        <w:t xml:space="preserve"> </w:t>
      </w:r>
      <w:r>
        <w:t xml:space="preserve">tlrkkwfysw (Assumed: 80%)</w:t>
      </w:r>
    </w:p>
    <w:p>
      <w:pPr>
        <w:numPr>
          <w:ilvl w:val="0"/>
          <w:numId w:val="1006"/>
        </w:numPr>
        <w:pStyle w:val="Compact"/>
      </w:pPr>
      <w:r>
        <w:rPr>
          <w:bCs/>
          <w:b/>
        </w:rPr>
        <w:t xml:space="preserve">Circular/Take-back Programs:</w:t>
      </w:r>
      <w:r>
        <w:t xml:space="preserve"> </w:t>
      </w:r>
      <w:r>
        <w:t xml:space="preserve">sfofuotmfl (msefkpzqxh operates a product take-back program across key European markets, contributing to higher recyclability rates and proper disposal.)</w:t>
      </w:r>
    </w:p>
    <w:p>
      <w:pPr>
        <w:pStyle w:val="FirstParagraph"/>
      </w:pPr>
      <w:r>
        <w:t xml:space="preserve">Illustrative Emission Factor for End-of-Life (Landfill for non-recycled portion): 0.4 kg CO2e/kg (for general waste disposal).</w:t>
      </w:r>
    </w:p>
    <w:bookmarkEnd w:id="33"/>
    <w:bookmarkStart w:id="34" w:name="illustrative-emission-factors-summary"/>
    <w:p>
      <w:pPr>
        <w:pStyle w:val="Heading3"/>
      </w:pPr>
      <w:r>
        <w:t xml:space="preserve">Illustrative Emission Factors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Activity/Material</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Electricity (China, Blended for Production)</w:t>
            </w:r>
          </w:p>
        </w:tc>
        <w:tc>
          <w:tcPr/>
          <w:p>
            <w:pPr>
              <w:pStyle w:val="Compact"/>
              <w:jc w:val="left"/>
            </w:pPr>
            <w:r>
              <w:t xml:space="preserve">kWh</w:t>
            </w:r>
          </w:p>
        </w:tc>
        <w:tc>
          <w:tcPr/>
          <w:p>
            <w:pPr>
              <w:pStyle w:val="Compact"/>
              <w:jc w:val="left"/>
            </w:pPr>
            <w:r>
              <w:t xml:space="preserve">0.24</w:t>
            </w:r>
          </w:p>
        </w:tc>
        <w:tc>
          <w:tcPr/>
          <w:p>
            <w:pPr>
              <w:pStyle w:val="Compact"/>
              <w:jc w:val="left"/>
            </w:pPr>
            <w:r>
              <w:t xml:space="preserve">DEFRA 2025 / Ecoinvent</w:t>
            </w:r>
          </w:p>
        </w:tc>
      </w:tr>
      <w:tr>
        <w:tc>
          <w:tcPr/>
          <w:p>
            <w:pPr>
              <w:pStyle w:val="Compact"/>
              <w:jc w:val="left"/>
            </w:pPr>
            <w:r>
              <w:t xml:space="preserve">Electricity (Europe, Use Phase)</w:t>
            </w:r>
          </w:p>
        </w:tc>
        <w:tc>
          <w:tcPr/>
          <w:p>
            <w:pPr>
              <w:pStyle w:val="Compact"/>
              <w:jc w:val="left"/>
            </w:pPr>
            <w:r>
              <w:t xml:space="preserve">kWh</w:t>
            </w:r>
          </w:p>
        </w:tc>
        <w:tc>
          <w:tcPr/>
          <w:p>
            <w:pPr>
              <w:pStyle w:val="Compact"/>
              <w:jc w:val="left"/>
            </w:pPr>
            <w:r>
              <w:t xml:space="preserve">0.25</w:t>
            </w:r>
          </w:p>
        </w:tc>
        <w:tc>
          <w:tcPr/>
          <w:p>
            <w:pPr>
              <w:pStyle w:val="Compact"/>
              <w:jc w:val="left"/>
            </w:pPr>
            <w:r>
              <w:t xml:space="preserve">DEFRA 2025 / Ecoinvent</w:t>
            </w:r>
          </w:p>
        </w:tc>
      </w:tr>
      <w:tr>
        <w:tc>
          <w:tcPr/>
          <w:p>
            <w:pPr>
              <w:pStyle w:val="Compact"/>
              <w:jc w:val="left"/>
            </w:pPr>
            <w:r>
              <w:t xml:space="preserve">Road Transport (Heavy Duty Truck)</w:t>
            </w:r>
          </w:p>
        </w:tc>
        <w:tc>
          <w:tcPr/>
          <w:p>
            <w:pPr>
              <w:pStyle w:val="Compact"/>
              <w:jc w:val="left"/>
            </w:pPr>
            <w:r>
              <w:t xml:space="preserve">tkm</w:t>
            </w:r>
          </w:p>
        </w:tc>
        <w:tc>
          <w:tcPr/>
          <w:p>
            <w:pPr>
              <w:pStyle w:val="Compact"/>
              <w:jc w:val="left"/>
            </w:pPr>
            <w:r>
              <w:t xml:space="preserve">0.1</w:t>
            </w:r>
          </w:p>
        </w:tc>
        <w:tc>
          <w:tcPr/>
          <w:p>
            <w:pPr>
              <w:pStyle w:val="Compact"/>
              <w:jc w:val="left"/>
            </w:pPr>
            <w:r>
              <w:t xml:space="preserve">DEFRA 2025</w:t>
            </w:r>
          </w:p>
        </w:tc>
      </w:tr>
      <w:tr>
        <w:tc>
          <w:tcPr/>
          <w:p>
            <w:pPr>
              <w:pStyle w:val="Compact"/>
              <w:jc w:val="left"/>
            </w:pPr>
            <w:r>
              <w:t xml:space="preserve">Road Transport (Light Duty Van)</w:t>
            </w:r>
          </w:p>
        </w:tc>
        <w:tc>
          <w:tcPr/>
          <w:p>
            <w:pPr>
              <w:pStyle w:val="Compact"/>
              <w:jc w:val="left"/>
            </w:pPr>
            <w:r>
              <w:t xml:space="preserve">tkm</w:t>
            </w:r>
          </w:p>
        </w:tc>
        <w:tc>
          <w:tcPr/>
          <w:p>
            <w:pPr>
              <w:pStyle w:val="Compact"/>
              <w:jc w:val="left"/>
            </w:pPr>
            <w:r>
              <w:t xml:space="preserve">0.15</w:t>
            </w:r>
          </w:p>
        </w:tc>
        <w:tc>
          <w:tcPr/>
          <w:p>
            <w:pPr>
              <w:pStyle w:val="Compact"/>
              <w:jc w:val="left"/>
            </w:pPr>
            <w:r>
              <w:t xml:space="preserve">DEFRA 2025</w:t>
            </w:r>
          </w:p>
        </w:tc>
      </w:tr>
      <w:tr>
        <w:tc>
          <w:tcPr/>
          <w:p>
            <w:pPr>
              <w:pStyle w:val="Compact"/>
              <w:jc w:val="left"/>
            </w:pPr>
            <w:r>
              <w:t xml:space="preserve">End-of-Life (Landfill)</w:t>
            </w:r>
          </w:p>
        </w:tc>
        <w:tc>
          <w:tcPr/>
          <w:p>
            <w:pPr>
              <w:pStyle w:val="Compact"/>
              <w:jc w:val="left"/>
            </w:pPr>
            <w:r>
              <w:t xml:space="preserve">kg</w:t>
            </w:r>
          </w:p>
        </w:tc>
        <w:tc>
          <w:tcPr/>
          <w:p>
            <w:pPr>
              <w:pStyle w:val="Compact"/>
              <w:jc w:val="left"/>
            </w:pPr>
            <w:r>
              <w:t xml:space="preserve">0.4</w:t>
            </w:r>
          </w:p>
        </w:tc>
        <w:tc>
          <w:tcPr/>
          <w:p>
            <w:pPr>
              <w:pStyle w:val="Compact"/>
              <w:jc w:val="left"/>
            </w:pPr>
            <w:r>
              <w:t xml:space="preserve">DEFRA 2025</w:t>
            </w:r>
          </w:p>
        </w:tc>
      </w:tr>
    </w:tbl>
    <w:p>
      <w:r>
        <w:pict>
          <v:rect style="width:0;height:1.5pt" o:hralign="center" o:hrstd="t" o:hr="t"/>
        </w:pict>
      </w:r>
    </w:p>
    <w:bookmarkEnd w:id="34"/>
    <w:bookmarkEnd w:id="35"/>
    <w:bookmarkStart w:id="49" w:name="calculate-emissions"/>
    <w:p>
      <w:pPr>
        <w:pStyle w:val="Heading2"/>
      </w:pPr>
      <w:r>
        <w:t xml:space="preserve">4. Calculate Emissions</w:t>
      </w:r>
    </w:p>
    <w:p>
      <w:pPr>
        <w:pStyle w:val="FirstParagraph"/>
      </w:pPr>
      <w:r>
        <w:t xml:space="preserve">Emissions are calculated using the formula:</w:t>
      </w:r>
      <w:r>
        <w:t xml:space="preserve"> </w:t>
      </w:r>
      <w:r>
        <w:rPr>
          <w:bCs/>
          <w:b/>
        </w:rPr>
        <w:t xml:space="preserve">Activity Data × Emission Factor = CO2e</w:t>
      </w:r>
      <w:r>
        <w:t xml:space="preserve">. The results are categorized according to the GHG Protocol\'s Scope 1, Scope 2, and Scope 3 framework. All calculations are illustrative based on the assumed parameters.</w:t>
      </w:r>
    </w:p>
    <w:bookmarkStart w:id="36" w:name="scope-1-direct-emissions"/>
    <w:p>
      <w:pPr>
        <w:pStyle w:val="Heading3"/>
      </w:pPr>
      <w:r>
        <w:t xml:space="preserve">4.1. Scope 1: Direct Emissions</w:t>
      </w:r>
    </w:p>
    <w:p>
      <w:pPr>
        <w:pStyle w:val="FirstParagraph"/>
      </w:pPr>
      <w:r>
        <w:t xml:space="preserve">As noted, for the PCF of htozmmvidr, direct emissions from sources owned or controlled by msefkpzqxh (e.g., on-site fuel combustion, fugitive emissions) specifically for the manufacturing of this single unit are considered negligible within the factory_gate boundary. These are often accounted for at an organizational level rather than per product unit unless highly significant.</w:t>
      </w:r>
    </w:p>
    <w:p>
      <w:pPr>
        <w:numPr>
          <w:ilvl w:val="0"/>
          <w:numId w:val="1007"/>
        </w:numPr>
        <w:pStyle w:val="Compact"/>
      </w:pPr>
      <w:r>
        <w:rPr>
          <w:bCs/>
          <w:b/>
        </w:rPr>
        <w:t xml:space="preserve">Scope 1 Emissions:</w:t>
      </w:r>
      <w:r>
        <w:t xml:space="preserve"> </w:t>
      </w:r>
      <w:r>
        <w:t xml:space="preserve">0.0 kg CO2e</w:t>
      </w:r>
    </w:p>
    <w:bookmarkEnd w:id="36"/>
    <w:bookmarkStart w:id="37" w:name="X6e33192ac0717de790eb55c0bc151772d4100ea"/>
    <w:p>
      <w:pPr>
        <w:pStyle w:val="Heading3"/>
      </w:pPr>
      <w:r>
        <w:t xml:space="preserve">4.2. Scope 2: Indirect Emissions from Purchased Energy (Production Phase)</w:t>
      </w:r>
    </w:p>
    <w:p>
      <w:pPr>
        <w:pStyle w:val="FirstParagraph"/>
      </w:pPr>
      <w:r>
        <w:t xml:space="preserve">These emissions arise from the generation of purchased electricity consumed during the product\'s manufacturing.</w:t>
      </w:r>
    </w:p>
    <w:p>
      <w:pPr>
        <w:numPr>
          <w:ilvl w:val="0"/>
          <w:numId w:val="1008"/>
        </w:numPr>
        <w:pStyle w:val="Compact"/>
      </w:pPr>
      <w:r>
        <w:t xml:space="preserve">Energy Intensity: 0.5 kWh/unit</w:t>
      </w:r>
    </w:p>
    <w:p>
      <w:pPr>
        <w:numPr>
          <w:ilvl w:val="0"/>
          <w:numId w:val="1008"/>
        </w:numPr>
        <w:pStyle w:val="Compact"/>
      </w:pPr>
      <w:r>
        <w:t xml:space="preserve">Blended Grid Emission Factor (China, 70% renewable): 0.24 kg CO2e/kWh</w:t>
      </w:r>
    </w:p>
    <w:p>
      <w:pPr>
        <w:numPr>
          <w:ilvl w:val="0"/>
          <w:numId w:val="1008"/>
        </w:numPr>
        <w:pStyle w:val="Compact"/>
      </w:pPr>
      <w:r>
        <w:rPr>
          <w:bCs/>
          <w:b/>
        </w:rPr>
        <w:t xml:space="preserve">Scope 2 Emissions:</w:t>
      </w:r>
      <w:r>
        <w:t xml:space="preserve"> </w:t>
      </w:r>
      <w:r>
        <w:t xml:space="preserve">0.5 kWh/unit * 0.24 kg CO2e/kWh = 0.12 kg CO2e</w:t>
      </w:r>
    </w:p>
    <w:bookmarkEnd w:id="37"/>
    <w:bookmarkStart w:id="45" w:name="Xd1c2b652bc5876514f180a21f002993b8de8e83"/>
    <w:p>
      <w:pPr>
        <w:pStyle w:val="Heading3"/>
      </w:pPr>
      <w:r>
        <w:t xml:space="preserve">4.3. Scope 3: Other Indirect Emissions (Value Chain)</w:t>
      </w:r>
    </w:p>
    <w:p>
      <w:pPr>
        <w:pStyle w:val="FirstParagraph"/>
      </w:pPr>
      <w:r>
        <w:t xml:space="preserve">Scope 3 encompasses all other indirect emissions occurring in the value chain, both upstream and downstream. The GHG Protocol has updated its Scope 3 standard, emphasizing a 95% coverage for all relevant Scope 3 emissions to claim conformance, effective with 2026 reporting.</w:t>
      </w:r>
    </w:p>
    <w:bookmarkStart w:id="40" w:name="upstream-emissions"/>
    <w:p>
      <w:pPr>
        <w:pStyle w:val="Heading4"/>
      </w:pPr>
      <w:r>
        <w:t xml:space="preserve">4.3.1. Upstream Emissions</w:t>
      </w:r>
    </w:p>
    <w:bookmarkStart w:id="38" w:name="Xab9729a0caae076ca89f2f71668734f92723cf2"/>
    <w:p>
      <w:pPr>
        <w:pStyle w:val="Heading5"/>
      </w:pPr>
      <w:r>
        <w:t xml:space="preserve">Category 1: Purchased Goods and Services (Materials)</w:t>
      </w:r>
    </w:p>
    <w:p>
      <w:pPr>
        <w:pStyle w:val="FirstParagraph"/>
      </w:pPr>
      <w:r>
        <w:t xml:space="preserve">Based on the detailed BOM, the sum of calculated total carbon from raw material acquisition and pre-processing:</w:t>
      </w:r>
    </w:p>
    <w:p>
      <w:pPr>
        <w:numPr>
          <w:ilvl w:val="0"/>
          <w:numId w:val="1009"/>
        </w:numPr>
        <w:pStyle w:val="Compact"/>
      </w:pPr>
      <w:r>
        <w:rPr>
          <w:bCs/>
          <w:b/>
        </w:rPr>
        <w:t xml:space="preserve">Emissions from Materials:</w:t>
      </w:r>
      <w:r>
        <w:t xml:space="preserve"> </w:t>
      </w:r>
      <w:r>
        <w:t xml:space="preserve">3.195 kg CO2e</w:t>
      </w:r>
    </w:p>
    <w:bookmarkEnd w:id="38"/>
    <w:bookmarkStart w:id="39" w:name="X5cb38d85c34037ed91a42f9dbff555bfdf1dda6"/>
    <w:p>
      <w:pPr>
        <w:pStyle w:val="Heading5"/>
      </w:pPr>
      <w:r>
        <w:t xml:space="preserve">Category 4: Upstream Transportation and Distribution (Raw Materials to Factory)</w:t>
      </w:r>
    </w:p>
    <w:p>
      <w:pPr>
        <w:pStyle w:val="FirstParagraph"/>
      </w:pPr>
      <w:r>
        <w:t xml:space="preserve">Assuming an illustrative total inbound raw material transport distance for component sourcing (e.g., from Europe to China) and an average material transport factor. Let\'s assume an average inbound transport mass of 0.8 kg per product unit (sum of BOM items, excluding packaging) over an illustrative distance of 2000 km.</w:t>
      </w:r>
    </w:p>
    <w:p>
      <w:pPr>
        <w:numPr>
          <w:ilvl w:val="0"/>
          <w:numId w:val="1010"/>
        </w:numPr>
        <w:pStyle w:val="Compact"/>
      </w:pPr>
      <w:r>
        <w:t xml:space="preserve">Total Inbound Material Mass: 0.8 kg</w:t>
      </w:r>
    </w:p>
    <w:p>
      <w:pPr>
        <w:numPr>
          <w:ilvl w:val="0"/>
          <w:numId w:val="1010"/>
        </w:numPr>
        <w:pStyle w:val="Compact"/>
      </w:pPr>
      <w:r>
        <w:t xml:space="preserve">Average Inbound Transport Distance: 2000 km</w:t>
      </w:r>
    </w:p>
    <w:p>
      <w:pPr>
        <w:numPr>
          <w:ilvl w:val="0"/>
          <w:numId w:val="1010"/>
        </w:numPr>
        <w:pStyle w:val="Compact"/>
      </w:pPr>
      <w:r>
        <w:t xml:space="preserve">Heavy Duty Truck EF: 0.1 kg CO2e/tkm</w:t>
      </w:r>
    </w:p>
    <w:p>
      <w:pPr>
        <w:numPr>
          <w:ilvl w:val="0"/>
          <w:numId w:val="1010"/>
        </w:numPr>
        <w:pStyle w:val="Compact"/>
      </w:pPr>
      <w:r>
        <w:rPr>
          <w:bCs/>
          <w:b/>
        </w:rPr>
        <w:t xml:space="preserve">Emissions from Upstream Transport:</w:t>
      </w:r>
      <w:r>
        <w:t xml:space="preserve"> </w:t>
      </w:r>
      <w:r>
        <w:t xml:space="preserve">(0.8 kg / 1000 kg/t) * 2000 km * 0.1 kg CO2e/tkm = 0.16 kg CO2e</w:t>
      </w:r>
    </w:p>
    <w:bookmarkEnd w:id="39"/>
    <w:bookmarkEnd w:id="40"/>
    <w:bookmarkStart w:id="44" w:name="downstream-emissions"/>
    <w:p>
      <w:pPr>
        <w:pStyle w:val="Heading4"/>
      </w:pPr>
      <w:r>
        <w:t xml:space="preserve">4.3.2. Downstream Emissions</w:t>
      </w:r>
    </w:p>
    <w:bookmarkStart w:id="41" w:name="X82d82fde736963550159e232661c390dc46a97b"/>
    <w:p>
      <w:pPr>
        <w:pStyle w:val="Heading5"/>
      </w:pPr>
      <w:r>
        <w:t xml:space="preserve">Category 9: Downstream Transportation and Distribution (Finished Product from Factory to Customer)</w:t>
      </w:r>
    </w:p>
    <w:p>
      <w:pPr>
        <w:pStyle w:val="FirstParagraph"/>
      </w:pPr>
      <w:r>
        <w:t xml:space="preserve">This includes the main transport leg from China to Europe and the last-mile delivery to the customer.</w:t>
      </w:r>
    </w:p>
    <w:p>
      <w:pPr>
        <w:numPr>
          <w:ilvl w:val="0"/>
          <w:numId w:val="1011"/>
        </w:numPr>
        <w:pStyle w:val="Compact"/>
      </w:pPr>
      <w:r>
        <w:t xml:space="preserve">Product Mass for Transport: 1.0 kg</w:t>
      </w:r>
    </w:p>
    <w:p>
      <w:pPr>
        <w:numPr>
          <w:ilvl w:val="0"/>
          <w:numId w:val="1011"/>
        </w:numPr>
        <w:pStyle w:val="Compact"/>
      </w:pPr>
      <w:r>
        <w:t xml:space="preserve">Main Transport Distance: 1500 km (Road - Heavy Duty Truck)</w:t>
      </w:r>
    </w:p>
    <w:p>
      <w:pPr>
        <w:numPr>
          <w:ilvl w:val="0"/>
          <w:numId w:val="1011"/>
        </w:numPr>
        <w:pStyle w:val="Compact"/>
      </w:pPr>
      <w:r>
        <w:t xml:space="preserve">Main Transport EF: 0.1 kg CO2e/tkm</w:t>
      </w:r>
    </w:p>
    <w:p>
      <w:pPr>
        <w:numPr>
          <w:ilvl w:val="0"/>
          <w:numId w:val="1011"/>
        </w:numPr>
        <w:pStyle w:val="Compact"/>
      </w:pPr>
      <w:r>
        <w:t xml:space="preserve">Last-Mile Delivery Distance: 100 km (Road - Light Duty Van)</w:t>
      </w:r>
    </w:p>
    <w:p>
      <w:pPr>
        <w:numPr>
          <w:ilvl w:val="0"/>
          <w:numId w:val="1011"/>
        </w:numPr>
        <w:pStyle w:val="Compact"/>
      </w:pPr>
      <w:r>
        <w:t xml:space="preserve">Last-Mile Delivery EF: 0.15 kg CO2e/tkm</w:t>
      </w:r>
    </w:p>
    <w:p>
      <w:pPr>
        <w:numPr>
          <w:ilvl w:val="0"/>
          <w:numId w:val="1011"/>
        </w:numPr>
        <w:pStyle w:val="Compact"/>
      </w:pPr>
      <w:r>
        <w:rPr>
          <w:bCs/>
          <w:b/>
        </w:rPr>
        <w:t xml:space="preserve">Emissions from Main Transport:</w:t>
      </w:r>
      <w:r>
        <w:t xml:space="preserve"> </w:t>
      </w:r>
      <w:r>
        <w:t xml:space="preserve">(1.0 kg / 1000 kg/t) * 1500 km * 0.1 kg CO2e/tkm = 0.15 kg CO2e</w:t>
      </w:r>
    </w:p>
    <w:p>
      <w:pPr>
        <w:numPr>
          <w:ilvl w:val="0"/>
          <w:numId w:val="1011"/>
        </w:numPr>
        <w:pStyle w:val="Compact"/>
      </w:pPr>
      <w:r>
        <w:rPr>
          <w:bCs/>
          <w:b/>
        </w:rPr>
        <w:t xml:space="preserve">Emissions from Last-Mile Delivery:</w:t>
      </w:r>
      <w:r>
        <w:t xml:space="preserve"> </w:t>
      </w:r>
      <w:r>
        <w:t xml:space="preserve">(1.0 kg / 1000 kg/t) * 100 km * 0.15 kg CO2e/tkm = 0.015 kg CO2e</w:t>
      </w:r>
    </w:p>
    <w:p>
      <w:pPr>
        <w:numPr>
          <w:ilvl w:val="0"/>
          <w:numId w:val="1011"/>
        </w:numPr>
        <w:pStyle w:val="Compact"/>
      </w:pPr>
      <w:r>
        <w:rPr>
          <w:bCs/>
          <w:b/>
        </w:rPr>
        <w:t xml:space="preserve">Total Downstream Transport Emissions:</w:t>
      </w:r>
      <w:r>
        <w:t xml:space="preserve"> </w:t>
      </w:r>
      <w:r>
        <w:t xml:space="preserve">0.15 + 0.015 = 0.165 kg CO2e</w:t>
      </w:r>
    </w:p>
    <w:bookmarkEnd w:id="41"/>
    <w:bookmarkStart w:id="42" w:name="category-11-use-of-sold-products"/>
    <w:p>
      <w:pPr>
        <w:pStyle w:val="Heading5"/>
      </w:pPr>
      <w:r>
        <w:t xml:space="preserve">Category 11: Use of Sold Products</w:t>
      </w:r>
    </w:p>
    <w:p>
      <w:pPr>
        <w:pStyle w:val="FirstParagraph"/>
      </w:pPr>
      <w:r>
        <w:t xml:space="preserve">Energy consumption during the product\'s 5-year lifespan.</w:t>
      </w:r>
    </w:p>
    <w:p>
      <w:pPr>
        <w:numPr>
          <w:ilvl w:val="0"/>
          <w:numId w:val="1012"/>
        </w:numPr>
        <w:pStyle w:val="Compact"/>
      </w:pPr>
      <w:r>
        <w:t xml:space="preserve">Energy Consumption in Use: 10 kWh/year</w:t>
      </w:r>
    </w:p>
    <w:p>
      <w:pPr>
        <w:numPr>
          <w:ilvl w:val="0"/>
          <w:numId w:val="1012"/>
        </w:numPr>
        <w:pStyle w:val="Compact"/>
      </w:pPr>
      <w:r>
        <w:t xml:space="preserve">Product Lifespan: 5 years</w:t>
      </w:r>
    </w:p>
    <w:p>
      <w:pPr>
        <w:numPr>
          <w:ilvl w:val="0"/>
          <w:numId w:val="1012"/>
        </w:numPr>
        <w:pStyle w:val="Compact"/>
      </w:pPr>
      <w:r>
        <w:t xml:space="preserve">European Grid EF (Use Phase): 0.25 kg CO2e/kWh</w:t>
      </w:r>
    </w:p>
    <w:p>
      <w:pPr>
        <w:numPr>
          <w:ilvl w:val="0"/>
          <w:numId w:val="1012"/>
        </w:numPr>
        <w:pStyle w:val="Compact"/>
      </w:pPr>
      <w:r>
        <w:rPr>
          <w:bCs/>
          <w:b/>
        </w:rPr>
        <w:t xml:space="preserve">Emissions from Use Phase:</w:t>
      </w:r>
      <w:r>
        <w:t xml:space="preserve"> </w:t>
      </w:r>
      <w:r>
        <w:t xml:space="preserve">10 kWh/year * 5 years * 0.25 kg CO2e/kWh = 12.5 kg CO2e</w:t>
      </w:r>
    </w:p>
    <w:bookmarkEnd w:id="42"/>
    <w:bookmarkStart w:id="43" w:name="X9f66eef2700632e081dfe139021cb724ffcd2c5"/>
    <w:p>
      <w:pPr>
        <w:pStyle w:val="Heading5"/>
      </w:pPr>
      <w:r>
        <w:t xml:space="preserve">Category 12: End-of-Life Treatment of Sold Products</w:t>
      </w:r>
    </w:p>
    <w:p>
      <w:pPr>
        <w:pStyle w:val="FirstParagraph"/>
      </w:pPr>
      <w:r>
        <w:t xml:space="preserve">Emissions from the disposal of the non-recycled portion of the product and its packaging. Total product mass is 1.0 kg (illustrative).</w:t>
      </w:r>
    </w:p>
    <w:p>
      <w:pPr>
        <w:numPr>
          <w:ilvl w:val="0"/>
          <w:numId w:val="1013"/>
        </w:numPr>
        <w:pStyle w:val="Compact"/>
      </w:pPr>
      <w:r>
        <w:t xml:space="preserve">Product Mass: 1.0 kg</w:t>
      </w:r>
    </w:p>
    <w:p>
      <w:pPr>
        <w:numPr>
          <w:ilvl w:val="0"/>
          <w:numId w:val="1013"/>
        </w:numPr>
        <w:pStyle w:val="Compact"/>
      </w:pPr>
      <w:r>
        <w:t xml:space="preserve">Recyclability Percentage: 80%</w:t>
      </w:r>
    </w:p>
    <w:p>
      <w:pPr>
        <w:numPr>
          <w:ilvl w:val="0"/>
          <w:numId w:val="1013"/>
        </w:numPr>
        <w:pStyle w:val="Compact"/>
      </w:pPr>
      <w:r>
        <w:t xml:space="preserve">Non-recycled Percentage: 100% - 80% = 20%</w:t>
      </w:r>
    </w:p>
    <w:p>
      <w:pPr>
        <w:numPr>
          <w:ilvl w:val="0"/>
          <w:numId w:val="1013"/>
        </w:numPr>
        <w:pStyle w:val="Compact"/>
      </w:pPr>
      <w:r>
        <w:t xml:space="preserve">End-of-Life (Landfill) EF: 0.4 kg CO2e/kg</w:t>
      </w:r>
    </w:p>
    <w:p>
      <w:pPr>
        <w:numPr>
          <w:ilvl w:val="0"/>
          <w:numId w:val="1013"/>
        </w:numPr>
        <w:pStyle w:val="Compact"/>
      </w:pPr>
      <w:r>
        <w:rPr>
          <w:bCs/>
          <w:b/>
        </w:rPr>
        <w:t xml:space="preserve">Emissions from End-of-Life:</w:t>
      </w:r>
      <w:r>
        <w:t xml:space="preserve"> </w:t>
      </w:r>
      <w:r>
        <w:t xml:space="preserve">1.0 kg * 0.20 * 0.4 kg CO2e/kg = 0.08 kg CO2e</w:t>
      </w:r>
    </w:p>
    <w:bookmarkEnd w:id="43"/>
    <w:bookmarkEnd w:id="44"/>
    <w:bookmarkEnd w:id="45"/>
    <w:bookmarkStart w:id="46" w:name="X20b661f61d4e66c41b5c40531359b4f81ea2ad4"/>
    <w:p>
      <w:pPr>
        <w:pStyle w:val="Heading3"/>
      </w:pPr>
      <w:r>
        <w:t xml:space="preserve">Total Product Carbon Footprint Summary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0.120</w:t>
            </w:r>
          </w:p>
        </w:tc>
        <w:tc>
          <w:tcPr/>
          <w:p>
            <w:pPr>
              <w:pStyle w:val="Compact"/>
              <w:jc w:val="left"/>
            </w:pPr>
            <w:r>
              <w:t xml:space="preserve">0.67%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3.195</w:t>
            </w:r>
          </w:p>
        </w:tc>
        <w:tc>
          <w:tcPr/>
          <w:p>
            <w:pPr>
              <w:pStyle w:val="Compact"/>
              <w:jc w:val="left"/>
            </w:pPr>
            <w:r>
              <w:t xml:space="preserve">17.89%</w:t>
            </w:r>
          </w:p>
        </w:tc>
      </w:tr>
      <w:tr>
        <w:tc>
          <w:tcPr>
            <w:gridSpan w:val="1"/>
            <w:vMerge w:val="continue"/>
          </w:tcPr>
          <w:p>
            <w:pPr/>
          </w:p>
        </w:tc>
        <w:tc>
          <w:tcPr/>
          <w:p>
            <w:pPr>
              <w:pStyle w:val="Compact"/>
              <w:jc w:val="left"/>
            </w:pPr>
            <w:r>
              <w:t xml:space="preserve">Category 4: Upstream Transportation (Raw Materials)</w:t>
            </w:r>
          </w:p>
        </w:tc>
        <w:tc>
          <w:tcPr/>
          <w:p>
            <w:pPr>
              <w:pStyle w:val="Compact"/>
              <w:jc w:val="left"/>
            </w:pPr>
            <w:r>
              <w:t xml:space="preserve">0.160</w:t>
            </w:r>
          </w:p>
        </w:tc>
        <w:tc>
          <w:tcPr/>
          <w:p>
            <w:pPr>
              <w:pStyle w:val="Compact"/>
              <w:jc w:val="left"/>
            </w:pPr>
            <w:r>
              <w:t xml:space="preserve">0.90%</w:t>
            </w:r>
          </w:p>
        </w:tc>
      </w:tr>
      <w:tr>
        <w:tc>
          <w:tcPr>
            <w:gridSpan w:val="1"/>
            <w:vMerge w:val="continue"/>
          </w:tcPr>
          <w:p>
            <w:pPr/>
          </w:p>
        </w:tc>
        <w:tc>
          <w:tcPr/>
          <w:p>
            <w:pPr>
              <w:pStyle w:val="Compact"/>
              <w:jc w:val="left"/>
            </w:pPr>
            <w:r>
              <w:t xml:space="preserve">Category 9: Downstream Transportation (Finished Product)</w:t>
            </w:r>
          </w:p>
        </w:tc>
        <w:tc>
          <w:tcPr/>
          <w:p>
            <w:pPr>
              <w:pStyle w:val="Compact"/>
              <w:jc w:val="left"/>
            </w:pPr>
            <w:r>
              <w:t xml:space="preserve">0.165</w:t>
            </w:r>
          </w:p>
        </w:tc>
        <w:tc>
          <w:tcPr/>
          <w:p>
            <w:pPr>
              <w:pStyle w:val="Compact"/>
              <w:jc w:val="left"/>
            </w:pPr>
            <w:r>
              <w:t xml:space="preserve">0.92%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69.96%</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0.080</w:t>
            </w:r>
          </w:p>
        </w:tc>
        <w:tc>
          <w:tcPr/>
          <w:p>
            <w:pPr>
              <w:pStyle w:val="Compact"/>
              <w:jc w:val="left"/>
            </w:pPr>
            <w:r>
              <w:t xml:space="preserve">0.45%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18.020</w:t>
            </w:r>
          </w:p>
        </w:tc>
        <w:tc>
          <w:tcPr/>
          <w:p>
            <w:pPr>
              <w:pStyle w:val="Compact"/>
              <w:jc w:val="left"/>
            </w:pPr>
            <w:r>
              <w:rPr>
                <w:bCs/>
                <w:b/>
              </w:rPr>
              <w:t xml:space="preserve">100.00%</w:t>
            </w:r>
          </w:p>
        </w:tc>
      </w:tr>
    </w:tbl>
    <w:p>
      <w:pPr>
        <w:pStyle w:val="BodyText"/>
      </w:pPr>
      <w:r>
        <w:rPr>
          <w:bCs/>
          <w:b/>
        </w:rPr>
        <w:t xml:space="preserve">Total Product Carbon Footprint for 1.0 unit of htozmmvidr (Illustrative): 18.020 kg CO2e</w:t>
      </w:r>
    </w:p>
    <w:bookmarkEnd w:id="46"/>
    <w:bookmarkStart w:id="47" w:name="ghg-protocol-2026-lsr-update-application"/>
    <w:p>
      <w:pPr>
        <w:pStyle w:val="Heading3"/>
      </w:pPr>
      <w:r>
        <w:t xml:space="preserve">GHG Protocol 2026 LSR Update Application:</w:t>
      </w:r>
    </w:p>
    <w:p>
      <w:pPr>
        <w:pStyle w:val="FirstParagraph"/>
      </w:pPr>
      <w:r>
        <w:t xml:space="preserve">The Land Sector and Removals (LSR) Standard, released by GHG Protocol on January 30, 2026, and effective January 1, 2027, provides guidelines for accounting for land-based emissions and CO2 removals. While htozmmvidr is an industrial product, potential relevance for msefkpzqxh would stem from upstream raw material sourcing (e.g., bio-based materials, if any) or any direct land management activities not explicitly detailed for this product\'s PCF. For this report, the principles of the LSR Standard are acknowledged, and any land-use change or biogenic carbon impacts from raw materials, if identified with more granular data, would be incorporated under Scope 3, Category 1. The accompanying Guidance document is expected in Q2 2026, which will provide further implementation details.</w:t>
      </w:r>
    </w:p>
    <w:bookmarkEnd w:id="47"/>
    <w:bookmarkStart w:id="48" w:name="scope-3-compliance-2026-requirements"/>
    <w:p>
      <w:pPr>
        <w:pStyle w:val="Heading3"/>
      </w:pPr>
      <w:r>
        <w:t xml:space="preserve">Scope 3 Compliance (2026 Requirements):</w:t>
      </w:r>
    </w:p>
    <w:p>
      <w:pPr>
        <w:pStyle w:val="FirstParagraph"/>
      </w:pPr>
      <w:r>
        <w:t xml:space="preserve">As per the 2026 GHG Protocol revisions for Scope 3, companies are required to report at least 95% of their total relevant Scope 3 emissions to claim conformance. This analysis has aimed for comprehensive coverage across all material Scope 3 categories identified for htozmmvidr, including purchased goods and services, transportation (upstream and downstream), the use phase, and end-of-life treatment. Based on the illustrative data, Scope 3 accounts for approximately 99.33% of the total footprint, demonstrating adherence to the 95% coverage requirement. This ensures a robust and transparent assessment of value chain impacts.</w:t>
      </w:r>
    </w:p>
    <w:p>
      <w:r>
        <w:pict>
          <v:rect style="width:0;height:1.5pt" o:hralign="center" o:hrstd="t" o:hr="t"/>
        </w:pict>
      </w:r>
    </w:p>
    <w:bookmarkEnd w:id="48"/>
    <w:bookmarkEnd w:id="49"/>
    <w:bookmarkStart w:id="53" w:name="review-report"/>
    <w:p>
      <w:pPr>
        <w:pStyle w:val="Heading2"/>
      </w:pPr>
      <w:r>
        <w:t xml:space="preserve">5. Review &amp; Report</w:t>
      </w:r>
    </w:p>
    <w:bookmarkStart w:id="50" w:name="hotspots-and-reliability"/>
    <w:p>
      <w:pPr>
        <w:pStyle w:val="Heading3"/>
      </w:pPr>
      <w:r>
        <w:t xml:space="preserve">Hotspots and Reliability:</w:t>
      </w:r>
    </w:p>
    <w:p>
      <w:pPr>
        <w:pStyle w:val="FirstParagraph"/>
      </w:pPr>
      <w:r>
        <w:t xml:space="preserve">The analysis identifies the</w:t>
      </w:r>
      <w:r>
        <w:t xml:space="preserve"> </w:t>
      </w:r>
      <w:r>
        <w:rPr>
          <w:bCs/>
          <w:b/>
        </w:rPr>
        <w:t xml:space="preserve">Use Phase (69.96%)</w:t>
      </w:r>
      <w:r>
        <w:t xml:space="preserve"> </w:t>
      </w:r>
      <w:r>
        <w:t xml:space="preserve">as the dominant emission hotspot for htozmmvidr, primarily due to its energy consumption over its assumed lifespan. This is followed by</w:t>
      </w:r>
      <w:r>
        <w:t xml:space="preserve"> </w:t>
      </w:r>
      <w:r>
        <w:rPr>
          <w:bCs/>
          <w:b/>
        </w:rPr>
        <w:t xml:space="preserve">Purchased Goods and Services (Materials) (17.89%)</w:t>
      </w:r>
      <w:r>
        <w:t xml:space="preserve">. Transportation and End-of-Life stages contribute smaller, but still relevant, percentages.</w:t>
      </w:r>
    </w:p>
    <w:p>
      <w:pPr>
        <w:pStyle w:val="BodyText"/>
      </w:pPr>
      <w:r>
        <w:t xml:space="preserve">The reliability of this report is directly tied to the accuracy and specificity of the input data. While industry-standard emission factors from reputable sources (e.g., DEFRA, Ecoinvent) have been used for illustrative purposes, actual primary data from msefkpzqxh\'s specific suppliers, energy consumption records, and logistics providers would significantly enhance the precision of these calculations. The use of placeholder values necessitates acknowledging these as illustrative results.</w:t>
      </w:r>
    </w:p>
    <w:bookmarkEnd w:id="50"/>
    <w:bookmarkStart w:id="51" w:name="recommendations"/>
    <w:p>
      <w:pPr>
        <w:pStyle w:val="Heading3"/>
      </w:pPr>
      <w:r>
        <w:t xml:space="preserve">Recommendations:</w:t>
      </w:r>
    </w:p>
    <w:p>
      <w:pPr>
        <w:numPr>
          <w:ilvl w:val="0"/>
          <w:numId w:val="1014"/>
        </w:numPr>
        <w:pStyle w:val="Compact"/>
      </w:pPr>
      <w:r>
        <w:rPr>
          <w:bCs/>
          <w:b/>
        </w:rPr>
        <w:t xml:space="preserve">Focus on Use Phase Optimization:</w:t>
      </w:r>
      <w:r>
        <w:t xml:space="preserve"> </w:t>
      </w:r>
      <w:r>
        <w:t xml:space="preserve">Given the significant impact, msefkpzqxh should prioritize reducing the energy consumption of htozmmvidr during its use phase. This could involve design for energy efficiency, exploring lower-power components, or encouraging customer behavior that minimizes energy use.</w:t>
      </w:r>
    </w:p>
    <w:p>
      <w:pPr>
        <w:numPr>
          <w:ilvl w:val="0"/>
          <w:numId w:val="1014"/>
        </w:numPr>
        <w:pStyle w:val="Compact"/>
      </w:pPr>
      <w:r>
        <w:rPr>
          <w:bCs/>
          <w:b/>
        </w:rPr>
        <w:t xml:space="preserve">Material Decarbonization:</w:t>
      </w:r>
      <w:r>
        <w:t xml:space="preserve"> </w:t>
      </w:r>
      <w:r>
        <w:t xml:space="preserve">Investigate opportunities to source lower-carbon alternative materials for the Aluminum Casing and Circuit Board, which are the largest contributors within the material footprint. Engaging with suppliers to obtain primary, supplier-specific emission factors is crucial for targeted interventions.</w:t>
      </w:r>
    </w:p>
    <w:p>
      <w:pPr>
        <w:numPr>
          <w:ilvl w:val="0"/>
          <w:numId w:val="1014"/>
        </w:numPr>
        <w:pStyle w:val="Compact"/>
      </w:pPr>
      <w:r>
        <w:rPr>
          <w:bCs/>
          <w:b/>
        </w:rPr>
        <w:t xml:space="preserve">Enhance Circularity:</w:t>
      </w:r>
      <w:r>
        <w:t xml:space="preserve"> </w:t>
      </w:r>
      <w:r>
        <w:t xml:space="preserve">Leverage and expand the existing product take-back programs (sfofuotmfl) to further increase the recyclability rate beyond the assumed 80%, potentially reducing end-of-life impacts and fostering material loops.</w:t>
      </w:r>
    </w:p>
    <w:p>
      <w:pPr>
        <w:numPr>
          <w:ilvl w:val="0"/>
          <w:numId w:val="1014"/>
        </w:numPr>
        <w:pStyle w:val="Compact"/>
      </w:pPr>
      <w:r>
        <w:rPr>
          <w:bCs/>
          <w:b/>
        </w:rPr>
        <w:t xml:space="preserve">Supply Chain Engagement:</w:t>
      </w:r>
      <w:r>
        <w:t xml:space="preserve"> </w:t>
      </w:r>
      <w:r>
        <w:t xml:space="preserve">Work closely with transportation and material suppliers to identify opportunities for mode shifting to lower-emission alternatives (e.g., rail or sea freight for longer distances) and improving vehicle efficiency.</w:t>
      </w:r>
    </w:p>
    <w:p>
      <w:pPr>
        <w:numPr>
          <w:ilvl w:val="0"/>
          <w:numId w:val="1014"/>
        </w:numPr>
        <w:pStyle w:val="Compact"/>
      </w:pPr>
      <w:r>
        <w:rPr>
          <w:bCs/>
          <w:b/>
        </w:rPr>
        <w:t xml:space="preserve">Data Granularity:</w:t>
      </w:r>
      <w:r>
        <w:t xml:space="preserve"> </w:t>
      </w:r>
      <w:r>
        <w:t xml:space="preserve">For future iterations, collect more specific primary data for all input parameters, especially for electricity consumption in production, exact transport routes and modes, and actual use phase energy profiles, to improve the accuracy and robustness of the PCF.</w:t>
      </w:r>
    </w:p>
    <w:bookmarkEnd w:id="51"/>
    <w:bookmarkStart w:id="52" w:name="conclusion"/>
    <w:p>
      <w:pPr>
        <w:pStyle w:val="Heading3"/>
      </w:pPr>
      <w:r>
        <w:t xml:space="preserve">Conclusion:</w:t>
      </w:r>
    </w:p>
    <w:p>
      <w:pPr>
        <w:pStyle w:val="FirstParagraph"/>
      </w:pPr>
      <w:r>
        <w:t xml:space="preserve">This detailed Product Carbon Footprint analysis provides msefkpzqxh with an illustrative baseline understanding of the environmental impact of htozmmvidr. By identifying the use phase and material acquisition as primary hotspots, this report offers actionable insights for targeted emission reduction strategies. Continuous monitoring and a commitment to gathering more granular, primary data will enable msefkpzqxh to further refine its PCF calculations and drive meaningful sustainability improvements for htozmmvidr and its broader product portfolio.</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htozmmvidr</dc:title>
  <dc:creator/>
  <dc:description>Detailed Product Carbon Footprint (PCF) analysis report for htozmmvidr, adhering to GHG Protocol standards and 2026 updates, conducted by Senior Sustainability Consultant rxkilzwzji for msefkpzqxh.</dc:description>
  <dc:language>en</dc:language>
  <cp:keywords/>
  <dcterms:created xsi:type="dcterms:W3CDTF">2026-07-15T06:36:25Z</dcterms:created>
  <dcterms:modified xsi:type="dcterms:W3CDTF">2026-07-15T06:36:25Z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