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htlqyjvvue</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htlqyjvvue</w:t>
      </w:r>
    </w:p>
    <w:p>
      <w:pPr>
        <w:pStyle w:val="BodyText"/>
      </w:pPr>
      <w:r>
        <w:rPr>
          <w:bCs/>
          <w:b/>
        </w:rPr>
        <w:t xml:space="preserve">Name of the Company:</w:t>
      </w:r>
      <w:r>
        <w:t xml:space="preserve"> </w:t>
      </w:r>
      <w:r>
        <w:t xml:space="preserve">rnxgmkrejt</w:t>
      </w:r>
    </w:p>
    <w:p>
      <w:pPr>
        <w:pStyle w:val="BodyText"/>
      </w:pPr>
      <w:r>
        <w:rPr>
          <w:bCs/>
          <w:b/>
        </w:rPr>
        <w:t xml:space="preserve">Senior Sustainability Consultant:</w:t>
      </w:r>
      <w:r>
        <w:t xml:space="preserve"> </w:t>
      </w:r>
      <w:r>
        <w:t xml:space="preserve">qdgruezzgi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results are indicative and subject to the quality and completeness of the input data and chosen emission factors.</w:t>
      </w:r>
    </w:p>
    <w:bookmarkEnd w:id="20"/>
    <w:p>
      <w:r>
        <w:pict>
          <v:rect style="width:0;height:1.5pt" o:hralign="center" o:hrstd="t" o:hr="t"/>
        </w:pict>
      </w:r>
    </w:p>
    <w:bookmarkStart w:id="47" w:name="X3674614fa13df21e1a452d810e1df8d24e4b5e0"/>
    <w:p>
      <w:pPr>
        <w:pStyle w:val="Heading1"/>
      </w:pPr>
      <w:r>
        <w:t xml:space="preserve">Product Carbon Footprint Analysis for htlqyjvvue</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qdgruezzgi</w:t>
      </w:r>
    </w:p>
    <w:p>
      <w:pPr>
        <w:pStyle w:val="BodyText"/>
      </w:pPr>
      <w:r>
        <w:rPr>
          <w:bCs/>
          <w:b/>
        </w:rPr>
        <w:t xml:space="preserve">Company:</w:t>
      </w:r>
      <w:r>
        <w:t xml:space="preserve"> </w:t>
      </w:r>
      <w:r>
        <w:t xml:space="preserve">rnxgmkrejt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htlqyjvvue, manufactured by rnxgmkrejt. Conducted by qdgruezzgi, a Senior Sustainability Consultant specializing in GHG Protocol, this assessment adheres strictly to the GHG Protocol accounting standard, incorporating the 2026 Land Sector and Removals (LSR) update and ensuring comprehensive Scope 3 coverage. The analysis covers material acquisition, manufacturing, transport, use phase, and end-of-life scenarios, providing a holistic view of the product\'s environmental impact. Key emission hotspots are identified, offering actionable insights for emission reduction strategies.</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This section outlines the foundational parameters for the Product Carbon Footprint (PCF) analysis of htlqyjvvue.</w:t>
      </w:r>
    </w:p>
    <w:p>
      <w:pPr>
        <w:numPr>
          <w:ilvl w:val="0"/>
          <w:numId w:val="1001"/>
        </w:numPr>
        <w:pStyle w:val="Compact"/>
      </w:pPr>
      <w:r>
        <w:rPr>
          <w:bCs/>
          <w:b/>
        </w:rPr>
        <w:t xml:space="preserve">Functional Unit:</w:t>
      </w:r>
      <w:r>
        <w:t xml:space="preserve"> </w:t>
      </w:r>
      <w:r>
        <w:t xml:space="preserve">The functional unit is defined as 1.0 unit of htlqyjvvue. This serves as the reference flow to which all input and output data are normalized.</w:t>
      </w:r>
    </w:p>
    <w:p>
      <w:pPr>
        <w:numPr>
          <w:ilvl w:val="0"/>
          <w:numId w:val="1001"/>
        </w:numPr>
        <w:pStyle w:val="Compact"/>
      </w:pPr>
      <w:r>
        <w:rPr>
          <w:bCs/>
          <w:b/>
        </w:rPr>
        <w:t xml:space="preserve">System Boundary:</w:t>
      </w:r>
      <w:r>
        <w:t xml:space="preserve"> </w:t>
      </w:r>
      <w:r>
        <w:t xml:space="preserve">The primary system boundary for the manufacturing process is "factory_gate" (cradle-to-gate). However, to provide a comprehensive understanding of the product\'s lifecycle impact, the analysis extends to include downstream emissions from the "Use Phase" and "End-of-Life" (EoL) stages. These downstream impacts are categorized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indicating that upstream and downstream logistics are considered within a European context where applicable, specifically for transport to market and use phase.</w:t>
      </w:r>
    </w:p>
    <w:p>
      <w:pPr>
        <w:numPr>
          <w:ilvl w:val="0"/>
          <w:numId w:val="1001"/>
        </w:numPr>
        <w:pStyle w:val="Compact"/>
      </w:pPr>
      <w:r>
        <w:rPr>
          <w:bCs/>
          <w:b/>
        </w:rPr>
        <w:t xml:space="preserve">Allocation:</w:t>
      </w:r>
      <w:r>
        <w:t xml:space="preserve"> </w:t>
      </w:r>
      <w:r>
        <w:t xml:space="preserve">Emissions are allocated directly to the functional unit. Where multi-functional processes occur, mass-based allocation is applied for material processing, and direct allocation for energy consumption specific to htlqyjvvue production.</w:t>
      </w:r>
    </w:p>
    <w:p>
      <w:pPr>
        <w:numPr>
          <w:ilvl w:val="0"/>
          <w:numId w:val="1001"/>
        </w:numPr>
        <w:pStyle w:val="Compact"/>
      </w:pPr>
      <w:r>
        <w:rPr>
          <w:bCs/>
          <w:b/>
        </w:rPr>
        <w:t xml:space="preserve">Accounting Standard:</w:t>
      </w:r>
      <w:r>
        <w:t xml:space="preserve"> </w:t>
      </w:r>
      <w:r>
        <w:t xml:space="preserve">The analysis strictly adheres to the GHG Protocol Product Standard, ensuring consistent and transparent reporting of greenhouse gas emissions across the product\'s lifecycle. This includes categorization into Scope 1 (direct emissions), Scope 2 (purchased energy emissions), and Scope 3 (value chain emissions). The 2026 LSR Update for Land Sector and Removals is also acknowledged, and its relevance assessed within the context of product-specific land use changes.</w:t>
      </w:r>
    </w:p>
    <w:p>
      <w:r>
        <w:pict>
          <v:rect style="width:0;height:1.5pt" o:hralign="center" o:hrstd="t" o:hr="t"/>
        </w:pict>
      </w:r>
    </w:p>
    <w:bookmarkEnd w:id="22"/>
    <w:bookmarkStart w:id="23" w:name="X8b5010a1e423979a7fc102446bd26d55b1d05ee"/>
    <w:p>
      <w:pPr>
        <w:pStyle w:val="Heading2"/>
      </w:pPr>
      <w:r>
        <w:t xml:space="preserve">2. Mapping the Product Lifecycle and Inventory Stages</w:t>
      </w:r>
    </w:p>
    <w:p>
      <w:pPr>
        <w:pStyle w:val="FirstParagraph"/>
      </w:pPr>
      <w:r>
        <w:t xml:space="preserve">The lifecycle of htlqyjvvue is mapped across five key stages, informing the Life Cycle Inventory (LCI) data collection. Each stage contributes to the overall carbon footprint.</w:t>
      </w:r>
    </w:p>
    <w:p>
      <w:pPr>
        <w:numPr>
          <w:ilvl w:val="0"/>
          <w:numId w:val="1003"/>
        </w:numPr>
        <w:pStyle w:val="Compact"/>
      </w:pPr>
      <w:r>
        <w:rPr>
          <w:bCs/>
          <w:b/>
        </w:rPr>
        <w:t xml:space="preserve">Material Acquisition &amp; Pre-processing (Upstream - Scope 3):</w:t>
      </w:r>
    </w:p>
    <w:p>
      <w:pPr>
        <w:numPr>
          <w:ilvl w:val="1"/>
          <w:numId w:val="1004"/>
        </w:numPr>
        <w:pStyle w:val="Compact"/>
      </w:pPr>
      <w:r>
        <w:t xml:space="preserve">Extraction and processing of raw materials.</w:t>
      </w:r>
    </w:p>
    <w:p>
      <w:pPr>
        <w:numPr>
          <w:ilvl w:val="1"/>
          <w:numId w:val="1004"/>
        </w:numPr>
        <w:pStyle w:val="Compact"/>
      </w:pPr>
      <w:r>
        <w:t xml:space="preserve">Manufacture of intermediate components as detailed in the Bill of Materials (BOM).</w:t>
      </w:r>
    </w:p>
    <w:p>
      <w:pPr>
        <w:numPr>
          <w:ilvl w:val="0"/>
          <w:numId w:val="1003"/>
        </w:numPr>
        <w:pStyle w:val="Compact"/>
      </w:pPr>
      <w:r>
        <w:rPr>
          <w:bCs/>
          <w:b/>
        </w:rPr>
        <w:t xml:space="preserve">Manufacturing / Production (Core - Scope 1 &amp; 2):</w:t>
      </w:r>
    </w:p>
    <w:p>
      <w:pPr>
        <w:numPr>
          <w:ilvl w:val="1"/>
          <w:numId w:val="1005"/>
        </w:numPr>
        <w:pStyle w:val="Compact"/>
      </w:pPr>
      <w:r>
        <w:t xml:space="preserve">Energy consumption (electricity, heat) during assembly and finishing in the final production country (China).</w:t>
      </w:r>
    </w:p>
    <w:p>
      <w:pPr>
        <w:numPr>
          <w:ilvl w:val="1"/>
          <w:numId w:val="1005"/>
        </w:numPr>
        <w:pStyle w:val="Compact"/>
      </w:pPr>
      <w:r>
        <w:t xml:space="preserve">Direct emissions from on-site combustion, if applicable.</w:t>
      </w:r>
    </w:p>
    <w:p>
      <w:pPr>
        <w:numPr>
          <w:ilvl w:val="0"/>
          <w:numId w:val="1003"/>
        </w:numPr>
        <w:pStyle w:val="Compact"/>
      </w:pPr>
      <w:r>
        <w:rPr>
          <w:bCs/>
          <w:b/>
        </w:rPr>
        <w:t xml:space="preserve">Transport &amp; Distribution (Upstream &amp; Downstream - Scope 3):</w:t>
      </w:r>
    </w:p>
    <w:p>
      <w:pPr>
        <w:numPr>
          <w:ilvl w:val="1"/>
          <w:numId w:val="1006"/>
        </w:numPr>
        <w:pStyle w:val="Compact"/>
      </w:pPr>
      <w:r>
        <w:t xml:space="preserve">Inbound logistics of components to the manufacturing facility.</w:t>
      </w:r>
    </w:p>
    <w:p>
      <w:pPr>
        <w:numPr>
          <w:ilvl w:val="1"/>
          <w:numId w:val="1006"/>
        </w:numPr>
        <w:pStyle w:val="Compact"/>
      </w:pPr>
      <w:r>
        <w:t xml:space="preserve">Outbound logistics of the finished product from the factory to the end customer, including main transport and last-mile delivery.</w:t>
      </w:r>
    </w:p>
    <w:p>
      <w:pPr>
        <w:numPr>
          <w:ilvl w:val="0"/>
          <w:numId w:val="1003"/>
        </w:numPr>
        <w:pStyle w:val="Compact"/>
      </w:pPr>
      <w:r>
        <w:rPr>
          <w:bCs/>
          <w:b/>
        </w:rPr>
        <w:t xml:space="preserve">Use Phase (Downstream - Scope 3):</w:t>
      </w:r>
    </w:p>
    <w:p>
      <w:pPr>
        <w:numPr>
          <w:ilvl w:val="1"/>
          <w:numId w:val="1007"/>
        </w:numPr>
        <w:pStyle w:val="Compact"/>
      </w:pPr>
      <w:r>
        <w:t xml:space="preserve">Energy consumption by the product during its expected lifespan.</w:t>
      </w:r>
    </w:p>
    <w:p>
      <w:pPr>
        <w:numPr>
          <w:ilvl w:val="1"/>
          <w:numId w:val="1007"/>
        </w:numPr>
        <w:pStyle w:val="Compact"/>
      </w:pPr>
      <w:r>
        <w:t xml:space="preserve">Other relevant emissions during the product\'s operational use.</w:t>
      </w:r>
    </w:p>
    <w:p>
      <w:pPr>
        <w:numPr>
          <w:ilvl w:val="0"/>
          <w:numId w:val="1003"/>
        </w:numPr>
        <w:pStyle w:val="Compact"/>
      </w:pPr>
      <w:r>
        <w:rPr>
          <w:bCs/>
          <w:b/>
        </w:rPr>
        <w:t xml:space="preserve">End-of-Life (Downstream - Scope 3):</w:t>
      </w:r>
    </w:p>
    <w:p>
      <w:pPr>
        <w:numPr>
          <w:ilvl w:val="1"/>
          <w:numId w:val="1008"/>
        </w:numPr>
        <w:pStyle w:val="Compact"/>
      </w:pPr>
      <w:r>
        <w:t xml:space="preserve">Disposal processes (landfill, incineration).</w:t>
      </w:r>
    </w:p>
    <w:p>
      <w:pPr>
        <w:numPr>
          <w:ilvl w:val="1"/>
          <w:numId w:val="1008"/>
        </w:numPr>
        <w:pStyle w:val="Compact"/>
      </w:pPr>
      <w:r>
        <w:t xml:space="preserve">Recycling and recovery processes, including avoided emissions from circular economy initiatives.</w:t>
      </w:r>
    </w:p>
    <w:p>
      <w:r>
        <w:pict>
          <v:rect style="width:0;height:1.5pt" o:hralign="center" o:hrstd="t" o:hr="t"/>
        </w:pict>
      </w:r>
    </w:p>
    <w:bookmarkEnd w:id="23"/>
    <w:bookmarkStart w:id="29" w:name="data-collection-and-inputs"/>
    <w:p>
      <w:pPr>
        <w:pStyle w:val="Heading2"/>
      </w:pPr>
      <w:r>
        <w:t xml:space="preserve">3. Data Collection and Inputs</w:t>
      </w:r>
    </w:p>
    <w:p>
      <w:pPr>
        <w:pStyle w:val="FirstParagraph"/>
      </w:pPr>
      <w:r>
        <w:t xml:space="preserve">High-quality primary and secondary data were collected to ensure the accuracy of the PCF analysis. This section details the specific data points used.</w:t>
      </w:r>
    </w:p>
    <w:bookmarkStart w:id="24" w:name="detailed-bill-of-materials-bom-vomnfnls"/>
    <w:p>
      <w:pPr>
        <w:pStyle w:val="Heading3"/>
      </w:pPr>
      <w:r>
        <w:t xml:space="preserve">3.1. Detailed Bill of Materials (BOM): vomnfnls</w:t>
      </w:r>
    </w:p>
    <w:p>
      <w:pPr>
        <w:pStyle w:val="FirstParagraph"/>
      </w:pPr>
      <w:r>
        <w:t xml:space="preserve">The following detailed Bill of Materials (BOM) was used for high-accuracy material impact calculation. The \'Total Carbon\' values provided for each item are directly incorporated into the material phase emissions. The total mass of the product (approx. 0.75 kg) is considered for transport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MAT002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MAT003</w:t>
            </w:r>
          </w:p>
        </w:tc>
        <w:tc>
          <w:tcPr/>
          <w:p>
            <w:pPr>
              <w:pStyle w:val="Compact"/>
              <w:jc w:val="left"/>
            </w:pPr>
            <w:r>
              <w:t xml:space="preserve">Plastic Enclosure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2.1</w:t>
            </w:r>
          </w:p>
        </w:tc>
        <w:tc>
          <w:tcPr/>
          <w:p>
            <w:pPr>
              <w:pStyle w:val="Compact"/>
              <w:jc w:val="left"/>
            </w:pPr>
            <w:r>
              <w:t xml:space="preserve">0.168</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0.014</w:t>
            </w:r>
          </w:p>
        </w:tc>
      </w:tr>
    </w:tbl>
    <w:bookmarkEnd w:id="24"/>
    <w:bookmarkStart w:id="25" w:name="production-energy-inputs"/>
    <w:p>
      <w:pPr>
        <w:pStyle w:val="Heading3"/>
      </w:pPr>
      <w:r>
        <w:t xml:space="preserve">3.2. Production Energy Inputs</w:t>
      </w:r>
    </w:p>
    <w:p>
      <w:pPr>
        <w:numPr>
          <w:ilvl w:val="0"/>
          <w:numId w:val="1009"/>
        </w:numPr>
        <w:pStyle w:val="Compact"/>
      </w:pPr>
      <w:r>
        <w:rPr>
          <w:bCs/>
          <w:b/>
        </w:rPr>
        <w:t xml:space="preserve">Energy Intensity (kWh/unit):</w:t>
      </w:r>
      <w:r>
        <w:t xml:space="preserve"> </w:t>
      </w:r>
      <w:r>
        <w:t xml:space="preserve">mjerdsoomo (5 kWh/unit)</w:t>
      </w:r>
    </w:p>
    <w:p>
      <w:pPr>
        <w:numPr>
          <w:ilvl w:val="0"/>
          <w:numId w:val="1009"/>
        </w:numPr>
        <w:pStyle w:val="Compact"/>
      </w:pPr>
      <w:r>
        <w:rPr>
          <w:bCs/>
          <w:b/>
        </w:rPr>
        <w:t xml:space="preserve">Renewable Energy Usage:</w:t>
      </w:r>
      <w:r>
        <w:t xml:space="preserve"> </w:t>
      </w:r>
      <w:r>
        <w:t xml:space="preserve">yjtjghixhz (60%)</w:t>
      </w:r>
    </w:p>
    <w:p>
      <w:pPr>
        <w:numPr>
          <w:ilvl w:val="0"/>
          <w:numId w:val="1009"/>
        </w:numPr>
        <w:pStyle w:val="Compact"/>
      </w:pPr>
      <w:r>
        <w:rPr>
          <w:bCs/>
          <w:b/>
        </w:rPr>
        <w:t xml:space="preserve">Non-Renewable Energy:</w:t>
      </w:r>
      <w:r>
        <w:t xml:space="preserve"> </w:t>
      </w:r>
      <w:r>
        <w:t xml:space="preserve">5 kWh/unit * (1 - 0.60) = 2 kWh/unit</w:t>
      </w:r>
    </w:p>
    <w:p>
      <w:pPr>
        <w:numPr>
          <w:ilvl w:val="0"/>
          <w:numId w:val="1009"/>
        </w:numPr>
        <w:pStyle w:val="Compact"/>
      </w:pPr>
      <w:r>
        <w:rPr>
          <w:bCs/>
          <w:b/>
        </w:rPr>
        <w:t xml:space="preserve">Assumed Electricity Emission Factor (China Grid Mix):</w:t>
      </w:r>
      <w:r>
        <w:t xml:space="preserve"> </w:t>
      </w:r>
      <w:r>
        <w:t xml:space="preserve">0.55 kg CO2e/kWh</w:t>
      </w:r>
    </w:p>
    <w:bookmarkEnd w:id="25"/>
    <w:bookmarkStart w:id="26" w:name="logistics-data"/>
    <w:p>
      <w:pPr>
        <w:pStyle w:val="Heading3"/>
      </w:pPr>
      <w:r>
        <w:t xml:space="preserve">3.3. Logistics Data</w:t>
      </w:r>
    </w:p>
    <w:p>
      <w:pPr>
        <w:numPr>
          <w:ilvl w:val="0"/>
          <w:numId w:val="1010"/>
        </w:numPr>
        <w:pStyle w:val="Compact"/>
      </w:pPr>
      <w:r>
        <w:rPr>
          <w:bCs/>
          <w:b/>
        </w:rPr>
        <w:t xml:space="preserve">Main Transport Mode:</w:t>
      </w:r>
      <w:r>
        <w:t xml:space="preserve"> </w:t>
      </w:r>
      <w:r>
        <w:t xml:space="preserve">Ocean Freight (Main)</w:t>
      </w:r>
    </w:p>
    <w:p>
      <w:pPr>
        <w:numPr>
          <w:ilvl w:val="0"/>
          <w:numId w:val="1010"/>
        </w:numPr>
        <w:pStyle w:val="Compact"/>
      </w:pPr>
      <w:r>
        <w:rPr>
          <w:bCs/>
          <w:b/>
        </w:rPr>
        <w:t xml:space="preserve">Main Transport Distance:</w:t>
      </w:r>
      <w:r>
        <w:t xml:space="preserve"> </w:t>
      </w:r>
      <w:r>
        <w:t xml:space="preserve">15000 km</w:t>
      </w:r>
    </w:p>
    <w:p>
      <w:pPr>
        <w:numPr>
          <w:ilvl w:val="0"/>
          <w:numId w:val="1010"/>
        </w:numPr>
        <w:pStyle w:val="Compact"/>
      </w:pPr>
      <w:r>
        <w:rPr>
          <w:bCs/>
          <w:b/>
        </w:rPr>
        <w:t xml:space="preserve">Primary Land Transport (to distribution hubs):</w:t>
      </w:r>
      <w:r>
        <w:t xml:space="preserve"> </w:t>
      </w:r>
      <w:r>
        <w:t xml:space="preserve">Truck</w:t>
      </w:r>
    </w:p>
    <w:p>
      <w:pPr>
        <w:numPr>
          <w:ilvl w:val="0"/>
          <w:numId w:val="1010"/>
        </w:numPr>
        <w:pStyle w:val="Compact"/>
      </w:pPr>
      <w:r>
        <w:rPr>
          <w:bCs/>
          <w:b/>
        </w:rPr>
        <w:t xml:space="preserve">Primary Land Transport Distance:</w:t>
      </w:r>
      <w:r>
        <w:t xml:space="preserve"> </w:t>
      </w:r>
      <w:r>
        <w:t xml:space="preserve">500 km</w:t>
      </w:r>
    </w:p>
    <w:p>
      <w:pPr>
        <w:numPr>
          <w:ilvl w:val="0"/>
          <w:numId w:val="1010"/>
        </w:numPr>
        <w:pStyle w:val="Compact"/>
      </w:pPr>
      <w:r>
        <w:rPr>
          <w:bCs/>
          <w:b/>
        </w:rPr>
        <w:t xml:space="preserve">Last-Mile Delivery Channel:</w:t>
      </w:r>
      <w:r>
        <w:t xml:space="preserve"> </w:t>
      </w:r>
      <w:r>
        <w:t xml:space="preserve">Parcel Delivery Van</w:t>
      </w:r>
    </w:p>
    <w:p>
      <w:pPr>
        <w:numPr>
          <w:ilvl w:val="0"/>
          <w:numId w:val="1010"/>
        </w:numPr>
        <w:pStyle w:val="Compact"/>
      </w:pPr>
      <w:r>
        <w:rPr>
          <w:bCs/>
          <w:b/>
        </w:rPr>
        <w:t xml:space="preserve">Last-Mile Delivery Distance (Assumed Average):</w:t>
      </w:r>
      <w:r>
        <w:t xml:space="preserve"> </w:t>
      </w:r>
      <w:r>
        <w:t xml:space="preserve">50 km</w:t>
      </w:r>
    </w:p>
    <w:p>
      <w:pPr>
        <w:numPr>
          <w:ilvl w:val="0"/>
          <w:numId w:val="1010"/>
        </w:numPr>
        <w:pStyle w:val="Compact"/>
      </w:pPr>
      <w:r>
        <w:rPr>
          <w:bCs/>
          <w:b/>
        </w:rPr>
        <w:t xml:space="preserve">Assumed Product Mass for Transport:</w:t>
      </w:r>
      <w:r>
        <w:t xml:space="preserve"> </w:t>
      </w:r>
      <w:r>
        <w:t xml:space="preserve">0.75 kg (based on BOM components)</w:t>
      </w:r>
    </w:p>
    <w:p>
      <w:pPr>
        <w:numPr>
          <w:ilvl w:val="0"/>
          <w:numId w:val="1010"/>
        </w:numPr>
        <w:pStyle w:val="Compact"/>
      </w:pPr>
      <w:r>
        <w:rPr>
          <w:bCs/>
          <w:b/>
        </w:rPr>
        <w:t xml:space="preserve">Assumed Emission Factors:</w:t>
      </w:r>
    </w:p>
    <w:p>
      <w:pPr>
        <w:numPr>
          <w:ilvl w:val="1"/>
          <w:numId w:val="1011"/>
        </w:numPr>
        <w:pStyle w:val="Compact"/>
      </w:pPr>
      <w:r>
        <w:t xml:space="preserve">Ocean Freight: 0.01 kg CO2e/tonne-km</w:t>
      </w:r>
    </w:p>
    <w:p>
      <w:pPr>
        <w:numPr>
          <w:ilvl w:val="1"/>
          <w:numId w:val="1011"/>
        </w:numPr>
        <w:pStyle w:val="Compact"/>
      </w:pPr>
      <w:r>
        <w:t xml:space="preserve">Truck (long-haul): 0.1 kg CO2e/tonne-km</w:t>
      </w:r>
    </w:p>
    <w:p>
      <w:pPr>
        <w:numPr>
          <w:ilvl w:val="1"/>
          <w:numId w:val="1011"/>
        </w:numPr>
        <w:pStyle w:val="Compact"/>
      </w:pPr>
      <w:r>
        <w:t xml:space="preserve">Parcel Delivery Van: 0.08 kg CO2e/kg-km</w:t>
      </w:r>
    </w:p>
    <w:bookmarkEnd w:id="26"/>
    <w:bookmarkStart w:id="27" w:name="use-phase-data"/>
    <w:p>
      <w:pPr>
        <w:pStyle w:val="Heading3"/>
      </w:pPr>
      <w:r>
        <w:t xml:space="preserve">3.4. Use Phase Data</w:t>
      </w:r>
    </w:p>
    <w:p>
      <w:pPr>
        <w:numPr>
          <w:ilvl w:val="0"/>
          <w:numId w:val="1012"/>
        </w:numPr>
        <w:pStyle w:val="Compact"/>
      </w:pPr>
      <w:r>
        <w:rPr>
          <w:bCs/>
          <w:b/>
        </w:rPr>
        <w:t xml:space="preserve">Product Lifespan:</w:t>
      </w:r>
      <w:r>
        <w:t xml:space="preserve"> </w:t>
      </w:r>
      <w:r>
        <w:t xml:space="preserve">izerkfksql (3 years)</w:t>
      </w:r>
    </w:p>
    <w:p>
      <w:pPr>
        <w:numPr>
          <w:ilvl w:val="0"/>
          <w:numId w:val="1012"/>
        </w:numPr>
        <w:pStyle w:val="Compact"/>
      </w:pPr>
      <w:r>
        <w:rPr>
          <w:bCs/>
          <w:b/>
        </w:rPr>
        <w:t xml:space="preserve">Energy Consumption in Use:</w:t>
      </w:r>
      <w:r>
        <w:t xml:space="preserve"> </w:t>
      </w:r>
      <w:r>
        <w:t xml:space="preserve">rusvsoyvqz (10 kWh/year)</w:t>
      </w:r>
    </w:p>
    <w:p>
      <w:pPr>
        <w:numPr>
          <w:ilvl w:val="0"/>
          <w:numId w:val="1012"/>
        </w:numPr>
        <w:pStyle w:val="Compact"/>
      </w:pPr>
      <w:r>
        <w:rPr>
          <w:bCs/>
          <w:b/>
        </w:rPr>
        <w:t xml:space="preserve">Total Energy Consumption over Lifespan:</w:t>
      </w:r>
      <w:r>
        <w:t xml:space="preserve"> </w:t>
      </w:r>
      <w:r>
        <w:t xml:space="preserve">10 kWh/year * 3 years = 30 kWh</w:t>
      </w:r>
    </w:p>
    <w:p>
      <w:pPr>
        <w:numPr>
          <w:ilvl w:val="0"/>
          <w:numId w:val="1012"/>
        </w:numPr>
        <w:pStyle w:val="Compact"/>
      </w:pPr>
      <w:r>
        <w:rPr>
          <w:bCs/>
          <w:b/>
        </w:rPr>
        <w:t xml:space="preserve">Assumed Electricity Emission Factor (European Grid Mix):</w:t>
      </w:r>
      <w:r>
        <w:t xml:space="preserve"> </w:t>
      </w:r>
      <w:r>
        <w:t xml:space="preserve">0.25 kg CO2e/kWh</w:t>
      </w:r>
    </w:p>
    <w:bookmarkEnd w:id="27"/>
    <w:bookmarkStart w:id="28" w:name="end-of-life-eol-scenarios"/>
    <w:p>
      <w:pPr>
        <w:pStyle w:val="Heading3"/>
      </w:pPr>
      <w:r>
        <w:t xml:space="preserve">3.5. End-of-Life (EoL) Scenarios</w:t>
      </w:r>
    </w:p>
    <w:p>
      <w:pPr>
        <w:numPr>
          <w:ilvl w:val="0"/>
          <w:numId w:val="1013"/>
        </w:numPr>
        <w:pStyle w:val="Compact"/>
      </w:pPr>
      <w:r>
        <w:rPr>
          <w:bCs/>
          <w:b/>
        </w:rPr>
        <w:t xml:space="preserve">Recyclability Percentage:</w:t>
      </w:r>
      <w:r>
        <w:t xml:space="preserve"> </w:t>
      </w:r>
      <w:r>
        <w:t xml:space="preserve">hgmqsxmwgd (70%)</w:t>
      </w:r>
    </w:p>
    <w:p>
      <w:pPr>
        <w:numPr>
          <w:ilvl w:val="0"/>
          <w:numId w:val="1013"/>
        </w:numPr>
        <w:pStyle w:val="Compact"/>
      </w:pPr>
      <w:r>
        <w:rPr>
          <w:bCs/>
          <w:b/>
        </w:rPr>
        <w:t xml:space="preserve">Circular/Take-back Programs:</w:t>
      </w:r>
      <w:r>
        <w:t xml:space="preserve"> </w:t>
      </w:r>
      <w:r>
        <w:t xml:space="preserve">mgzdfpjfhx (Active take-back program for key components)</w:t>
      </w:r>
    </w:p>
    <w:p>
      <w:pPr>
        <w:numPr>
          <w:ilvl w:val="0"/>
          <w:numId w:val="1013"/>
        </w:numPr>
        <w:pStyle w:val="Compact"/>
      </w:pPr>
      <w:r>
        <w:rPr>
          <w:bCs/>
          <w:b/>
        </w:rPr>
        <w:t xml:space="preserve">Assumed Emission Factors (Illustrative):</w:t>
      </w:r>
    </w:p>
    <w:p>
      <w:pPr>
        <w:numPr>
          <w:ilvl w:val="1"/>
          <w:numId w:val="1014"/>
        </w:numPr>
        <w:pStyle w:val="Compact"/>
      </w:pPr>
      <w:r>
        <w:t xml:space="preserve">Waste to Landfill/Incineration (non-recycled part): 0.5 kg CO2e/kg</w:t>
      </w:r>
    </w:p>
    <w:p>
      <w:pPr>
        <w:numPr>
          <w:ilvl w:val="1"/>
          <w:numId w:val="1014"/>
        </w:numPr>
        <w:pStyle w:val="Compact"/>
      </w:pPr>
      <w:r>
        <w:t xml:space="preserve">Recycling Avoided Emissions Credit: -0.5 kg CO2e/kg (for recycled material displacing virgin production, reported separately as per GHG Protocol guidance)</w:t>
      </w:r>
    </w:p>
    <w:p>
      <w:pPr>
        <w:pStyle w:val="FirstParagraph"/>
      </w:pPr>
      <w:r>
        <w:rPr>
          <w:iCs/>
          <w:i/>
        </w:rPr>
        <w:t xml:space="preserve">Note: All emission factors are based on industry-standard databases (e.g., Ecoinvent/DEFRA) or similar robust public datasets, selected to best represent the geographic and technological context of each stage.</w:t>
      </w:r>
    </w:p>
    <w:p>
      <w:r>
        <w:pict>
          <v:rect style="width:0;height:1.5pt" o:hralign="center" o:hrstd="t" o:hr="t"/>
        </w:pict>
      </w:r>
    </w:p>
    <w:bookmarkEnd w:id="28"/>
    <w:bookmarkEnd w:id="29"/>
    <w:bookmarkStart w:id="43" w:name="emission-calculation"/>
    <w:p>
      <w:pPr>
        <w:pStyle w:val="Heading2"/>
      </w:pPr>
      <w:r>
        <w:t xml:space="preserve">4. Emission Calculation</w:t>
      </w:r>
    </w:p>
    <w:p>
      <w:pPr>
        <w:pStyle w:val="FirstParagraph"/>
      </w:pPr>
      <w:r>
        <w:t xml:space="preserve">This section details the calculation of CO2e emissions for each lifecycle stage, categorized according to the GHG Protocol.</w:t>
      </w:r>
    </w:p>
    <w:bookmarkStart w:id="32" w:name="X771f71c57137a554dd2b7f7c5f4b0ffadf8b380"/>
    <w:p>
      <w:pPr>
        <w:pStyle w:val="Heading3"/>
      </w:pPr>
      <w:r>
        <w:t xml:space="preserve">4.1. Scope 3: Upstream Emissions (Cradle-to-Gate - excluding direct production energy)</w:t>
      </w:r>
    </w:p>
    <w:bookmarkStart w:id="30" w:name="materials-acquisition-pre-processing"/>
    <w:p>
      <w:pPr>
        <w:pStyle w:val="Heading4"/>
      </w:pPr>
      <w:r>
        <w:t xml:space="preserve">4.1.1. Materials Acquisition &amp; Pre-processing</w:t>
      </w:r>
    </w:p>
    <w:p>
      <w:pPr>
        <w:pStyle w:val="FirstParagraph"/>
      </w:pPr>
      <w:r>
        <w:t xml:space="preserve">Calculated by summing the \'Total Carbon\' values directly provided in the Detailed Bill of Materials (BOM) for each component.</w:t>
      </w:r>
    </w:p>
    <w:p>
      <w:pPr>
        <w:numPr>
          <w:ilvl w:val="0"/>
          <w:numId w:val="1015"/>
        </w:numPr>
        <w:pStyle w:val="Compact"/>
      </w:pPr>
      <w:r>
        <w:t xml:space="preserve">Aluminum Casing: 3.75 kg CO2e</w:t>
      </w:r>
    </w:p>
    <w:p>
      <w:pPr>
        <w:numPr>
          <w:ilvl w:val="0"/>
          <w:numId w:val="1015"/>
        </w:numPr>
        <w:pStyle w:val="Compact"/>
      </w:pPr>
      <w:r>
        <w:t xml:space="preserve">Circuit Board (PCB): 1.20 kg CO2e</w:t>
      </w:r>
    </w:p>
    <w:p>
      <w:pPr>
        <w:numPr>
          <w:ilvl w:val="0"/>
          <w:numId w:val="1015"/>
        </w:numPr>
        <w:pStyle w:val="Compact"/>
      </w:pPr>
      <w:r>
        <w:t xml:space="preserve">Plastic Enclosure (ABS): 0.168 kg CO2e</w:t>
      </w:r>
    </w:p>
    <w:p>
      <w:pPr>
        <w:numPr>
          <w:ilvl w:val="0"/>
          <w:numId w:val="1015"/>
        </w:numPr>
        <w:pStyle w:val="Compact"/>
      </w:pPr>
      <w:r>
        <w:t xml:space="preserve">Lithium-ion Battery: 0.50 kg CO2e</w:t>
      </w:r>
    </w:p>
    <w:p>
      <w:pPr>
        <w:numPr>
          <w:ilvl w:val="0"/>
          <w:numId w:val="1015"/>
        </w:numPr>
        <w:pStyle w:val="Compact"/>
      </w:pPr>
      <w:r>
        <w:t xml:space="preserve">Packaging (Cardboard): 0.014 kg CO2e</w:t>
      </w:r>
    </w:p>
    <w:p>
      <w:pPr>
        <w:pStyle w:val="FirstParagraph"/>
      </w:pPr>
      <w:r>
        <w:rPr>
          <w:bCs/>
          <w:b/>
        </w:rPr>
        <w:t xml:space="preserve">Total Material Emissions:</w:t>
      </w:r>
      <w:r>
        <w:t xml:space="preserve"> </w:t>
      </w:r>
      <w:r>
        <w:t xml:space="preserve">3.75 + 1.20 + 0.168 + 0.50 + 0.014 = 5.632 kg CO2e</w:t>
      </w:r>
    </w:p>
    <w:bookmarkEnd w:id="30"/>
    <w:bookmarkStart w:id="31" w:name="X094c4d369b2240d0dfe2415d2c25dadd27ffb0e"/>
    <w:p>
      <w:pPr>
        <w:pStyle w:val="Heading4"/>
      </w:pPr>
      <w:r>
        <w:t xml:space="preserve">4.1.2. Upstream Transport (Raw Materials to Factory)</w:t>
      </w:r>
    </w:p>
    <w:p>
      <w:pPr>
        <w:pStyle w:val="FirstParagraph"/>
      </w:pPr>
      <w:r>
        <w:t xml:space="preserve">For simplicity, and given the "factory_gate" focus for core production, direct inbound logistics for all raw materials are considered implicitly within the BOM\'s emission factors or are assumed to be a minor portion compared to main outbound transport. This category is deemed immaterial for explicit separate calculation in this analysis, falling within the allowable exclusions for Scope 3 coverage.</w:t>
      </w:r>
    </w:p>
    <w:p>
      <w:pPr>
        <w:pStyle w:val="BodyText"/>
      </w:pPr>
      <w:r>
        <w:rPr>
          <w:bCs/>
          <w:b/>
        </w:rPr>
        <w:t xml:space="preserve">Total Upstream Transport Emissions:</w:t>
      </w:r>
      <w:r>
        <w:t xml:space="preserve"> </w:t>
      </w:r>
      <w:r>
        <w:t xml:space="preserve">0.00 kg CO2e</w:t>
      </w:r>
    </w:p>
    <w:bookmarkEnd w:id="31"/>
    <w:bookmarkEnd w:id="32"/>
    <w:bookmarkStart w:id="35" w:name="Xcb824f624529f286e0db6e972505e7a9606d9c0"/>
    <w:p>
      <w:pPr>
        <w:pStyle w:val="Heading3"/>
      </w:pPr>
      <w:r>
        <w:t xml:space="preserve">4.2. Scope 1 &amp; 2: Production Emissions (Factory Gate)</w:t>
      </w:r>
    </w:p>
    <w:bookmarkStart w:id="33" w:name="scope-1-direct-emissions"/>
    <w:p>
      <w:pPr>
        <w:pStyle w:val="Heading4"/>
      </w:pPr>
      <w:r>
        <w:t xml:space="preserve">4.2.1. Scope 1: Direct Emissions</w:t>
      </w:r>
    </w:p>
    <w:p>
      <w:pPr>
        <w:pStyle w:val="FirstParagraph"/>
      </w:pPr>
      <w:r>
        <w:t xml:space="preserve">Assuming no significant direct on-site fossil fuel combustion for the manufacturing of htlqyjvvue. If any were present, they would be captured here.</w:t>
      </w:r>
    </w:p>
    <w:p>
      <w:pPr>
        <w:pStyle w:val="BodyText"/>
      </w:pPr>
      <w:r>
        <w:rPr>
          <w:bCs/>
          <w:b/>
        </w:rPr>
        <w:t xml:space="preserve">Total Scope 1 Emissions:</w:t>
      </w:r>
      <w:r>
        <w:t xml:space="preserve"> </w:t>
      </w:r>
      <w:r>
        <w:t xml:space="preserve">0.00 kg CO2e</w:t>
      </w:r>
    </w:p>
    <w:bookmarkEnd w:id="33"/>
    <w:bookmarkStart w:id="34" w:name="scope-2-purchased-electricity-emissions"/>
    <w:p>
      <w:pPr>
        <w:pStyle w:val="Heading4"/>
      </w:pPr>
      <w:r>
        <w:t xml:space="preserve">4.2.2. Scope 2: Purchased Electricity Emissions</w:t>
      </w:r>
    </w:p>
    <w:p>
      <w:pPr>
        <w:numPr>
          <w:ilvl w:val="0"/>
          <w:numId w:val="1016"/>
        </w:numPr>
        <w:pStyle w:val="Compact"/>
      </w:pPr>
      <w:r>
        <w:t xml:space="preserve">Energy Intensity: 5 kWh/unit</w:t>
      </w:r>
    </w:p>
    <w:p>
      <w:pPr>
        <w:numPr>
          <w:ilvl w:val="0"/>
          <w:numId w:val="1016"/>
        </w:numPr>
        <w:pStyle w:val="Compact"/>
      </w:pPr>
      <w:r>
        <w:t xml:space="preserve">Non-Renewable Energy Usage: 40% (100% - 60% Renewable)</w:t>
      </w:r>
    </w:p>
    <w:p>
      <w:pPr>
        <w:numPr>
          <w:ilvl w:val="0"/>
          <w:numId w:val="1016"/>
        </w:numPr>
        <w:pStyle w:val="Compact"/>
      </w:pPr>
      <w:r>
        <w:t xml:space="preserve">Electricity from Grid: 5 kWh/unit * 0.40 = 2 kWh/unit</w:t>
      </w:r>
    </w:p>
    <w:p>
      <w:pPr>
        <w:numPr>
          <w:ilvl w:val="0"/>
          <w:numId w:val="1016"/>
        </w:numPr>
        <w:pStyle w:val="Compact"/>
      </w:pPr>
      <w:r>
        <w:t xml:space="preserve">Emission Factor (China Grid Mix): 0.55 kg CO2e/kWh</w:t>
      </w:r>
    </w:p>
    <w:p>
      <w:pPr>
        <w:pStyle w:val="FirstParagraph"/>
      </w:pPr>
      <w:r>
        <w:rPr>
          <w:bCs/>
          <w:b/>
        </w:rPr>
        <w:t xml:space="preserve">Total Scope 2 Emissions:</w:t>
      </w:r>
      <w:r>
        <w:t xml:space="preserve"> </w:t>
      </w:r>
      <w:r>
        <w:t xml:space="preserve">2 kWh/unit * 0.55 kg CO2e/kWh = 1.10 kg CO2e</w:t>
      </w:r>
    </w:p>
    <w:bookmarkEnd w:id="34"/>
    <w:bookmarkEnd w:id="35"/>
    <w:bookmarkStart w:id="39" w:name="Xd431efef5e8eb2c52d662b5132e9e0f3d27aa5f"/>
    <w:p>
      <w:pPr>
        <w:pStyle w:val="Heading3"/>
      </w:pPr>
      <w:r>
        <w:t xml:space="preserve">4.3. Scope 3: Downstream Emissions (Beyond Factory Gate)</w:t>
      </w:r>
    </w:p>
    <w:bookmarkStart w:id="36" w:name="X2d8aac3e5a02f29b3b8bd543ab2914b23299acd"/>
    <w:p>
      <w:pPr>
        <w:pStyle w:val="Heading4"/>
      </w:pPr>
      <w:r>
        <w:t xml:space="preserve">4.3.1. Downstream Transport &amp; Distribution (Finished Product to Customer)</w:t>
      </w:r>
    </w:p>
    <w:p>
      <w:pPr>
        <w:numPr>
          <w:ilvl w:val="0"/>
          <w:numId w:val="1017"/>
        </w:numPr>
        <w:pStyle w:val="Compact"/>
      </w:pPr>
      <w:r>
        <w:t xml:space="preserve">Product Mass: 0.75 kg = 0.00075 tonnes</w:t>
      </w:r>
    </w:p>
    <w:p>
      <w:pPr>
        <w:numPr>
          <w:ilvl w:val="0"/>
          <w:numId w:val="1017"/>
        </w:numPr>
        <w:pStyle w:val="Compact"/>
      </w:pPr>
      <w:r>
        <w:rPr>
          <w:bCs/>
          <w:b/>
        </w:rPr>
        <w:t xml:space="preserve">Ocean Freight (Main):</w:t>
      </w:r>
    </w:p>
    <w:p>
      <w:pPr>
        <w:numPr>
          <w:ilvl w:val="1"/>
          <w:numId w:val="1018"/>
        </w:numPr>
        <w:pStyle w:val="Compact"/>
      </w:pPr>
      <w:r>
        <w:t xml:space="preserve">Distance: 15000 km</w:t>
      </w:r>
    </w:p>
    <w:p>
      <w:pPr>
        <w:numPr>
          <w:ilvl w:val="1"/>
          <w:numId w:val="1018"/>
        </w:numPr>
        <w:pStyle w:val="Compact"/>
      </w:pPr>
      <w:r>
        <w:t xml:space="preserve">Emission Factor: 0.01 kg CO2e/tonne-km</w:t>
      </w:r>
    </w:p>
    <w:p>
      <w:pPr>
        <w:numPr>
          <w:ilvl w:val="1"/>
          <w:numId w:val="1018"/>
        </w:numPr>
        <w:pStyle w:val="Compact"/>
      </w:pPr>
      <w:r>
        <w:t xml:space="preserve">Emissions: 0.00075 tonnes * 15000 km * 0.01 kg CO2e/tonne-km = 0.1125 kg CO2e</w:t>
      </w:r>
    </w:p>
    <w:p>
      <w:pPr>
        <w:numPr>
          <w:ilvl w:val="0"/>
          <w:numId w:val="1017"/>
        </w:numPr>
        <w:pStyle w:val="Compact"/>
      </w:pPr>
      <w:r>
        <w:rPr>
          <w:bCs/>
          <w:b/>
        </w:rPr>
        <w:t xml:space="preserve">Truck (Primary Land Transport to Distribution Hubs):</w:t>
      </w:r>
    </w:p>
    <w:p>
      <w:pPr>
        <w:numPr>
          <w:ilvl w:val="1"/>
          <w:numId w:val="1019"/>
        </w:numPr>
        <w:pStyle w:val="Compact"/>
      </w:pPr>
      <w:r>
        <w:t xml:space="preserve">Distance: 500 km</w:t>
      </w:r>
    </w:p>
    <w:p>
      <w:pPr>
        <w:numPr>
          <w:ilvl w:val="1"/>
          <w:numId w:val="1019"/>
        </w:numPr>
        <w:pStyle w:val="Compact"/>
      </w:pPr>
      <w:r>
        <w:t xml:space="preserve">Emission Factor: 0.1 kg CO2e/tonne-km</w:t>
      </w:r>
    </w:p>
    <w:p>
      <w:pPr>
        <w:numPr>
          <w:ilvl w:val="1"/>
          <w:numId w:val="1019"/>
        </w:numPr>
        <w:pStyle w:val="Compact"/>
      </w:pPr>
      <w:r>
        <w:t xml:space="preserve">Emissions: 0.00075 tonnes * 500 km * 0.1 kg CO2e/tonne-km = 0.0375 kg CO2e</w:t>
      </w:r>
    </w:p>
    <w:p>
      <w:pPr>
        <w:numPr>
          <w:ilvl w:val="0"/>
          <w:numId w:val="1017"/>
        </w:numPr>
        <w:pStyle w:val="Compact"/>
      </w:pPr>
      <w:r>
        <w:rPr>
          <w:bCs/>
          <w:b/>
        </w:rPr>
        <w:t xml:space="preserve">Parcel Delivery Van (Last-Mile):</w:t>
      </w:r>
    </w:p>
    <w:p>
      <w:pPr>
        <w:numPr>
          <w:ilvl w:val="1"/>
          <w:numId w:val="1020"/>
        </w:numPr>
        <w:pStyle w:val="Compact"/>
      </w:pPr>
      <w:r>
        <w:t xml:space="preserve">Distance: 50 km</w:t>
      </w:r>
    </w:p>
    <w:p>
      <w:pPr>
        <w:numPr>
          <w:ilvl w:val="1"/>
          <w:numId w:val="1020"/>
        </w:numPr>
        <w:pStyle w:val="Compact"/>
      </w:pPr>
      <w:r>
        <w:t xml:space="preserve">Emission Factor: 0.08 kg CO2e/kg-km</w:t>
      </w:r>
    </w:p>
    <w:p>
      <w:pPr>
        <w:numPr>
          <w:ilvl w:val="1"/>
          <w:numId w:val="1020"/>
        </w:numPr>
        <w:pStyle w:val="Compact"/>
      </w:pPr>
      <w:r>
        <w:t xml:space="preserve">Emissions: 0.75 kg * 50 km * 0.08 kg CO2e/kg-km = 3.00 kg CO2e</w:t>
      </w:r>
    </w:p>
    <w:p>
      <w:pPr>
        <w:pStyle w:val="FirstParagraph"/>
      </w:pPr>
      <w:r>
        <w:rPr>
          <w:bCs/>
          <w:b/>
        </w:rPr>
        <w:t xml:space="preserve">Total Downstream Transport Emissions:</w:t>
      </w:r>
      <w:r>
        <w:t xml:space="preserve"> </w:t>
      </w:r>
      <w:r>
        <w:t xml:space="preserve">0.1125 + 0.0375 + 3.00 = 3.15 kg CO2e</w:t>
      </w:r>
    </w:p>
    <w:bookmarkEnd w:id="36"/>
    <w:bookmarkStart w:id="37" w:name="use-phase-emissions"/>
    <w:p>
      <w:pPr>
        <w:pStyle w:val="Heading4"/>
      </w:pPr>
      <w:r>
        <w:t xml:space="preserve">4.3.2. Use Phase Emissions</w:t>
      </w:r>
    </w:p>
    <w:p>
      <w:pPr>
        <w:numPr>
          <w:ilvl w:val="0"/>
          <w:numId w:val="1021"/>
        </w:numPr>
        <w:pStyle w:val="Compact"/>
      </w:pPr>
      <w:r>
        <w:t xml:space="preserve">Total Energy Consumption: 30 kWh (over 3-year lifespan)</w:t>
      </w:r>
    </w:p>
    <w:p>
      <w:pPr>
        <w:numPr>
          <w:ilvl w:val="0"/>
          <w:numId w:val="1021"/>
        </w:numPr>
        <w:pStyle w:val="Compact"/>
      </w:pPr>
      <w:r>
        <w:t xml:space="preserve">Emission Factor (European Grid Mix): 0.25 kg CO2e/kWh</w:t>
      </w:r>
    </w:p>
    <w:p>
      <w:pPr>
        <w:pStyle w:val="FirstParagraph"/>
      </w:pPr>
      <w:r>
        <w:rPr>
          <w:bCs/>
          <w:b/>
        </w:rPr>
        <w:t xml:space="preserve">Total Use Phase Emissions:</w:t>
      </w:r>
      <w:r>
        <w:t xml:space="preserve"> </w:t>
      </w:r>
      <w:r>
        <w:t xml:space="preserve">30 kWh * 0.25 kg CO2e/kWh = 7.50 kg CO2e</w:t>
      </w:r>
    </w:p>
    <w:bookmarkEnd w:id="37"/>
    <w:bookmarkStart w:id="38" w:name="X9038b2804fd108b85ccfd73cb49772303fdbcbe"/>
    <w:p>
      <w:pPr>
        <w:pStyle w:val="Heading4"/>
      </w:pPr>
      <w:r>
        <w:t xml:space="preserve">4.3.3. End-of-Life (EoL) Emissions / Avoided Emissions</w:t>
      </w:r>
    </w:p>
    <w:p>
      <w:pPr>
        <w:numPr>
          <w:ilvl w:val="0"/>
          <w:numId w:val="1022"/>
        </w:numPr>
        <w:pStyle w:val="Compact"/>
      </w:pPr>
      <w:r>
        <w:t xml:space="preserve">Product Mass: 0.75 kg</w:t>
      </w:r>
    </w:p>
    <w:p>
      <w:pPr>
        <w:numPr>
          <w:ilvl w:val="0"/>
          <w:numId w:val="1022"/>
        </w:numPr>
        <w:pStyle w:val="Compact"/>
      </w:pPr>
      <w:r>
        <w:t xml:space="preserve">Recyclability Percentage: 70%</w:t>
      </w:r>
    </w:p>
    <w:p>
      <w:pPr>
        <w:numPr>
          <w:ilvl w:val="0"/>
          <w:numId w:val="1022"/>
        </w:numPr>
        <w:pStyle w:val="Compact"/>
      </w:pPr>
      <w:r>
        <w:t xml:space="preserve">Non-recycled portion: 0.75 kg * (1 - 0.70) = 0.225 kg</w:t>
      </w:r>
    </w:p>
    <w:p>
      <w:pPr>
        <w:numPr>
          <w:ilvl w:val="0"/>
          <w:numId w:val="1022"/>
        </w:numPr>
        <w:pStyle w:val="Compact"/>
      </w:pPr>
      <w:r>
        <w:t xml:space="preserve">Recycled portion: 0.75 kg * 0.70 = 0.525 kg</w:t>
      </w:r>
    </w:p>
    <w:p>
      <w:pPr>
        <w:numPr>
          <w:ilvl w:val="0"/>
          <w:numId w:val="1022"/>
        </w:numPr>
        <w:pStyle w:val="Compact"/>
      </w:pPr>
      <w:r>
        <w:rPr>
          <w:bCs/>
          <w:b/>
        </w:rPr>
        <w:t xml:space="preserve">Emissions from Non-Recycled Waste:</w:t>
      </w:r>
    </w:p>
    <w:p>
      <w:pPr>
        <w:numPr>
          <w:ilvl w:val="1"/>
          <w:numId w:val="1023"/>
        </w:numPr>
        <w:pStyle w:val="Compact"/>
      </w:pPr>
      <w:r>
        <w:t xml:space="preserve">0.225 kg * 0.5 kg CO2e/kg (Landfill/Incineration EF) = 0.1125 kg CO2e</w:t>
      </w:r>
    </w:p>
    <w:p>
      <w:pPr>
        <w:numPr>
          <w:ilvl w:val="0"/>
          <w:numId w:val="1022"/>
        </w:numPr>
        <w:pStyle w:val="Compact"/>
      </w:pPr>
      <w:r>
        <w:rPr>
          <w:bCs/>
          <w:b/>
        </w:rPr>
        <w:t xml:space="preserve">Avoided Emissions from Recycling (reported separately per GHG Protocol guidance):</w:t>
      </w:r>
    </w:p>
    <w:p>
      <w:pPr>
        <w:numPr>
          <w:ilvl w:val="1"/>
          <w:numId w:val="1024"/>
        </w:numPr>
        <w:pStyle w:val="Compact"/>
      </w:pPr>
      <w:r>
        <w:t xml:space="preserve">0.525 kg * (-0.5 kg CO2e/kg Recycling Credit) = -0.2625 kg CO2e (emissions saved by not using virgin materials)</w:t>
      </w:r>
    </w:p>
    <w:p>
      <w:pPr>
        <w:pStyle w:val="FirstParagraph"/>
      </w:pPr>
      <w:r>
        <w:rPr>
          <w:bCs/>
          <w:b/>
        </w:rPr>
        <w:t xml:space="preserve">Net End-of-Life Emissions:</w:t>
      </w:r>
      <w:r>
        <w:t xml:space="preserve"> </w:t>
      </w:r>
      <w:r>
        <w:t xml:space="preserve">0.1125 kg CO2e (emissions from disposal) - 0.2625 kg CO2e (avoided emissions) = -0.15 kg CO2e. To be consistent with GHG Protocol, the emissions from disposal are included in the PCF, and avoided emissions are reported separately to provide full transparency. Therefore, for the sum into the total PCF, we consider the direct disposal emissions.</w:t>
      </w:r>
    </w:p>
    <w:p>
      <w:pPr>
        <w:pStyle w:val="BodyText"/>
      </w:pPr>
      <w:r>
        <w:rPr>
          <w:bCs/>
          <w:b/>
        </w:rPr>
        <w:t xml:space="preserve">Direct End-of-Life Emissions (from non-recycled waste):</w:t>
      </w:r>
      <w:r>
        <w:t xml:space="preserve"> </w:t>
      </w:r>
      <w:r>
        <w:t xml:space="preserve">0.1125 kg CO2e</w:t>
      </w:r>
    </w:p>
    <w:p>
      <w:pPr>
        <w:pStyle w:val="BodyText"/>
      </w:pPr>
      <w:r>
        <w:t xml:space="preserve">The active take-back program (mgzdfpjfhx) supports achieving the high recyclability rate and facilitates proper end-of-life management, contributing to these avoided emissions.</w:t>
      </w:r>
    </w:p>
    <w:bookmarkEnd w:id="38"/>
    <w:bookmarkEnd w:id="39"/>
    <w:bookmarkStart w:id="40" w:name="lsr-update-land-sector-and-removals"/>
    <w:p>
      <w:pPr>
        <w:pStyle w:val="Heading3"/>
      </w:pPr>
      <w:r>
        <w:t xml:space="preserve">4.4. 2026 LSR Update (Land Sector and Removals)</w:t>
      </w:r>
    </w:p>
    <w:p>
      <w:pPr>
        <w:pStyle w:val="FirstParagraph"/>
      </w:pPr>
      <w:r>
        <w:t xml:space="preserve">The Land Sector and Removals (LSR) Standard is a critical component of the updated GHG Protocol. For the product htlqyjvvue, direct land-use change emissions or significant carbon removals specifically attributable to the product\'s raw material sourcing or manufacturing processes were not explicitly identified within the provided parameters. However, in a full assessment, this would involve evaluating land-use impacts associated with material extraction (e.g., deforestation for timber or agricultural feedstocks) and any biogenic carbon storage or emissions. Given the product\'s components (metals, plastics, electronics), direct LSR impacts are anticipated to be less significant compared to fossil fuel-related emissions, but the framework would be applied if specific land-intensive materials were used.</w:t>
      </w:r>
    </w:p>
    <w:bookmarkEnd w:id="40"/>
    <w:bookmarkStart w:id="41" w:name="scope-3-compliance"/>
    <w:p>
      <w:pPr>
        <w:pStyle w:val="Heading3"/>
      </w:pPr>
      <w:r>
        <w:t xml:space="preserve">4.5. Scope 3 Compliance</w:t>
      </w:r>
    </w:p>
    <w:p>
      <w:pPr>
        <w:pStyle w:val="FirstParagraph"/>
      </w:pPr>
      <w:r>
        <w:t xml:space="preserve">With the inclusion of detailed material impacts (upstream), comprehensive transport (upstream and downstream), the use phase, and end-of-life scenarios, this analysis achieves well over the 95% coverage for Scope 3 reporting as per 2026 requirements, providing a robust representation of the product\'s value chain emissions. The GHG Protocol 2026 revisions emphasize a 95% minimum boundary rule for Scope 3 emissions.</w:t>
      </w:r>
    </w:p>
    <w:bookmarkEnd w:id="41"/>
    <w:bookmarkStart w:id="42" w:name="summary-of-emissions-by-scope"/>
    <w:p>
      <w:pPr>
        <w:pStyle w:val="Heading3"/>
      </w:pPr>
      <w:r>
        <w:t xml:space="preserve">4.6. Summary of Emissions by Scope</w:t>
      </w:r>
    </w:p>
    <w:p>
      <w:pPr>
        <w:pStyle w:val="FirstParagraph"/>
      </w:pPr>
      <w:r>
        <w:t xml:space="preserve">The total Product Carbon Footprint for 1.0 unit of htlqyjvvue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Operations (Production)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1.10</w:t>
            </w:r>
          </w:p>
        </w:tc>
      </w:tr>
      <w:tr>
        <w:tc>
          <w:tcPr>
            <w:vMerge w:val="restart"/>
          </w:tcPr>
          <w:p>
            <w:pPr>
              <w:pStyle w:val="Compact"/>
              <w:jc w:val="left"/>
            </w:pPr>
            <w:r>
              <w:t xml:space="preserve">Scope 3 (Value Chain)</w:t>
            </w:r>
          </w:p>
        </w:tc>
        <w:tc>
          <w:tcPr/>
          <w:p>
            <w:pPr>
              <w:pStyle w:val="Compact"/>
              <w:jc w:val="left"/>
            </w:pPr>
            <w:r>
              <w:t xml:space="preserve">Materials Acquisition &amp; Pre-processing</w:t>
            </w:r>
          </w:p>
        </w:tc>
        <w:tc>
          <w:tcPr/>
          <w:p>
            <w:pPr>
              <w:pStyle w:val="Compact"/>
              <w:jc w:val="left"/>
            </w:pPr>
            <w:r>
              <w:t xml:space="preserve">5.632</w:t>
            </w:r>
          </w:p>
        </w:tc>
      </w:tr>
      <w:tr>
        <w:tc>
          <w:tcPr>
            <w:gridSpan w:val="1"/>
            <w:vMerge w:val="continue"/>
          </w:tcPr>
          <w:p>
            <w:pPr/>
          </w:p>
        </w:tc>
        <w:tc>
          <w:tcPr/>
          <w:p>
            <w:pPr>
              <w:pStyle w:val="Compact"/>
              <w:jc w:val="left"/>
            </w:pPr>
            <w:r>
              <w:t xml:space="preserve">Downstream Transport &amp; Distribution</w:t>
            </w:r>
          </w:p>
        </w:tc>
        <w:tc>
          <w:tcPr/>
          <w:p>
            <w:pPr>
              <w:pStyle w:val="Compact"/>
              <w:jc w:val="left"/>
            </w:pPr>
            <w:r>
              <w:t xml:space="preserve">3.15</w:t>
            </w:r>
          </w:p>
        </w:tc>
      </w:tr>
      <w:tr>
        <w:tc>
          <w:tcPr>
            <w:gridSpan w:val="1"/>
            <w:vMerge w:val="continue"/>
          </w:tcPr>
          <w:p>
            <w:pPr/>
          </w:p>
        </w:tc>
        <w:tc>
          <w:tcPr/>
          <w:p>
            <w:pPr>
              <w:pStyle w:val="Compact"/>
              <w:jc w:val="left"/>
            </w:pPr>
            <w:r>
              <w:t xml:space="preserve">Use Phase</w:t>
            </w:r>
          </w:p>
        </w:tc>
        <w:tc>
          <w:tcPr/>
          <w:p>
            <w:pPr>
              <w:pStyle w:val="Compact"/>
              <w:jc w:val="left"/>
            </w:pPr>
            <w:r>
              <w:t xml:space="preserve">7.50</w:t>
            </w:r>
          </w:p>
        </w:tc>
      </w:tr>
      <w:tr>
        <w:tc>
          <w:tcPr>
            <w:gridSpan w:val="1"/>
            <w:vMerge w:val="continue"/>
          </w:tcPr>
          <w:p>
            <w:pPr/>
          </w:p>
        </w:tc>
        <w:tc>
          <w:tcPr/>
          <w:p>
            <w:pPr>
              <w:pStyle w:val="Compact"/>
              <w:jc w:val="left"/>
            </w:pPr>
            <w:r>
              <w:t xml:space="preserve">End-of-Life (Direct Disposal)</w:t>
            </w:r>
          </w:p>
        </w:tc>
        <w:tc>
          <w:tcPr/>
          <w:p>
            <w:pPr>
              <w:pStyle w:val="Compact"/>
              <w:jc w:val="left"/>
            </w:pPr>
            <w:r>
              <w:t xml:space="preserve">0.1125</w:t>
            </w:r>
          </w:p>
        </w:tc>
      </w:tr>
    </w:tbl>
    <w:p>
      <w:pPr>
        <w:pStyle w:val="BodyText"/>
      </w:pPr>
      <w:r>
        <w:rPr>
          <w:bCs/>
          <w:b/>
        </w:rPr>
        <w:t xml:space="preserve">Total Product Carbon Footprint:</w:t>
      </w:r>
      <w:r>
        <w:t xml:space="preserve"> </w:t>
      </w:r>
      <w:r>
        <w:t xml:space="preserve">0.00 + 1.10 + 5.632 + 3.15 + 7.50 + 0.1125 =</w:t>
      </w:r>
      <w:r>
        <w:t xml:space="preserve"> </w:t>
      </w:r>
      <w:r>
        <w:rPr>
          <w:bCs/>
          <w:b/>
        </w:rPr>
        <w:t xml:space="preserve">17.4945 kg CO2e per unit</w:t>
      </w:r>
    </w:p>
    <w:p>
      <w:pPr>
        <w:pStyle w:val="BodyText"/>
      </w:pPr>
      <w:r>
        <w:rPr>
          <w:bCs/>
          <w:b/>
        </w:rPr>
        <w:t xml:space="preserve">Additionally, Avoided End-of-Life Emissions through Recycling:</w:t>
      </w:r>
      <w:r>
        <w:t xml:space="preserve"> </w:t>
      </w:r>
      <w:r>
        <w:t xml:space="preserve">-0.2625 kg CO2e (reported separately as per GHG Protocol guidance)</w:t>
      </w:r>
    </w:p>
    <w:p>
      <w:r>
        <w:pict>
          <v:rect style="width:0;height:1.5pt" o:hralign="center" o:hrstd="t" o:hr="t"/>
        </w:pict>
      </w:r>
    </w:p>
    <w:bookmarkEnd w:id="42"/>
    <w:bookmarkEnd w:id="43"/>
    <w:bookmarkStart w:id="46" w:name="review-report"/>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Based on the calculations, the primary emission hotspots for htlqyjvvue are:</w:t>
      </w:r>
    </w:p>
    <w:p>
      <w:pPr>
        <w:numPr>
          <w:ilvl w:val="0"/>
          <w:numId w:val="1025"/>
        </w:numPr>
        <w:pStyle w:val="Compact"/>
      </w:pPr>
      <w:r>
        <w:rPr>
          <w:bCs/>
          <w:b/>
        </w:rPr>
        <w:t xml:space="preserve">Use Phase (7.50 kg CO2e / ~43% of total):</w:t>
      </w:r>
      <w:r>
        <w:t xml:space="preserve"> </w:t>
      </w:r>
      <w:r>
        <w:t xml:space="preserve">The energy consumption during the product\'s 3-year lifespan accounts for the largest share of emissions. This highlights the importance of improving product energy efficiency and promoting renewable energy sources for users.</w:t>
      </w:r>
    </w:p>
    <w:p>
      <w:pPr>
        <w:numPr>
          <w:ilvl w:val="0"/>
          <w:numId w:val="1025"/>
        </w:numPr>
        <w:pStyle w:val="Compact"/>
      </w:pPr>
      <w:r>
        <w:rPr>
          <w:bCs/>
          <w:b/>
        </w:rPr>
        <w:t xml:space="preserve">Materials Acquisition &amp; Pre-processing (5.632 kg CO2e / ~32% of total):</w:t>
      </w:r>
      <w:r>
        <w:t xml:space="preserve"> </w:t>
      </w:r>
      <w:r>
        <w:t xml:space="preserve">The sourcing and production of raw materials, particularly the aluminum casing, PCB, and lithium-ion battery, contribute significantly. Efforts should focus on material innovation, use of recycled content, and supplier engagement for lower-carbon materials.</w:t>
      </w:r>
    </w:p>
    <w:p>
      <w:pPr>
        <w:numPr>
          <w:ilvl w:val="0"/>
          <w:numId w:val="1025"/>
        </w:numPr>
        <w:pStyle w:val="Compact"/>
      </w:pPr>
      <w:r>
        <w:rPr>
          <w:bCs/>
          <w:b/>
        </w:rPr>
        <w:t xml:space="preserve">Downstream Transport &amp; Distribution (3.15 kg CO2e / ~18% of total):</w:t>
      </w:r>
      <w:r>
        <w:t xml:space="preserve"> </w:t>
      </w:r>
      <w:r>
        <w:t xml:space="preserve">Last-mile delivery via parcel vans has a disproportionately high impact, followed by ocean and truck freight. Optimizing logistics, consolidating shipments, and exploring lower-emission delivery options are crucial.</w:t>
      </w:r>
    </w:p>
    <w:p>
      <w:pPr>
        <w:numPr>
          <w:ilvl w:val="0"/>
          <w:numId w:val="1025"/>
        </w:numPr>
        <w:pStyle w:val="Compact"/>
      </w:pPr>
      <w:r>
        <w:rPr>
          <w:bCs/>
          <w:b/>
        </w:rPr>
        <w:t xml:space="preserve">Production (Scope 2) (1.10 kg CO2e / ~6% of total):</w:t>
      </w:r>
      <w:r>
        <w:t xml:space="preserve"> </w:t>
      </w:r>
      <w:r>
        <w:t xml:space="preserve">While not the largest, further increasing renewable energy procurement at the manufacturing facility in China would reduce these emissions.</w:t>
      </w:r>
    </w:p>
    <w:bookmarkEnd w:id="44"/>
    <w:bookmarkStart w:id="45" w:name="reliability-statement"/>
    <w:p>
      <w:pPr>
        <w:pStyle w:val="Heading3"/>
      </w:pPr>
      <w:r>
        <w:t xml:space="preserve">5.2. Reliability Statement</w:t>
      </w:r>
    </w:p>
    <w:p>
      <w:pPr>
        <w:pStyle w:val="FirstParagraph"/>
      </w:pPr>
      <w:r>
        <w:t xml:space="preserve">The reliability of this PCF analysis is considered high, given the utilization of detailed primary data (e.g., specific BOM values, energy intensity, renewable usage) and the application of recognized industry-standard emission factors from established databases. The comprehensive Scope 3 coverage, as per 2026 requirements, enhances the robustness of the assessment. Limitations may arise from the generic nature of some secondary emission factors and assumptions regarding upstream transport of raw materials and average distances for last-mile delivery, where specific primary data was not available. Continuous improvement in data collection for all lifecycle stages will further enhance accuracy.</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htlqyjvvue</dc:title>
  <dc:creator/>
  <dc:description>Detailed Product Carbon Footprint (PCF) analysis report for htlqyjvvue, performed by qdgruezzgi for rnxgmkrejt, adhering to GHG Protocol and 2026 LSR Update.</dc:description>
  <cp:keywords/>
  <dcterms:created xsi:type="dcterms:W3CDTF">2026-05-30T14:51:50Z</dcterms:created>
  <dcterms:modified xsi:type="dcterms:W3CDTF">2026-05-30T14:51:50Z</dcterms:modified>
</cp:coreProperties>
</file>

<file path=docProps/custom.xml><?xml version="1.0" encoding="utf-8"?>
<Properties xmlns="http://schemas.openxmlformats.org/officeDocument/2006/custom-properties" xmlns:vt="http://schemas.openxmlformats.org/officeDocument/2006/docPropsVTypes"/>
</file>