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htijovskwi</w:t>
      </w:r>
    </w:p>
    <w:p>
      <w:pPr>
        <w:pStyle w:val="FirstParagraph"/>
      </w:pPr>
      <w:r>
        <w:t xml:space="preserve">carboncalcpcf.com</w:t>
      </w:r>
    </w:p>
    <w:bookmarkStart w:id="20" w:name="product-carbon-footprint-report"/>
    <w:p>
      <w:pPr>
        <w:pStyle w:val="Heading1"/>
      </w:pPr>
      <w:r>
        <w:t xml:space="preserve">Product Carbon Footprint Report</w:t>
      </w:r>
    </w:p>
    <w:bookmarkEnd w:id="20"/>
    <w:bookmarkStart w:id="21" w:name="for-htijovskwi"/>
    <w:p>
      <w:pPr>
        <w:pStyle w:val="Heading1"/>
      </w:pPr>
      <w:r>
        <w:t xml:space="preserve">for htijovskwi</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upxsdnzqtr</w:t>
      </w:r>
    </w:p>
    <w:p>
      <w:pPr>
        <w:pStyle w:val="BodyText"/>
      </w:pPr>
      <w:r>
        <w:rPr>
          <w:bCs/>
          <w:b/>
        </w:rPr>
        <w:t xml:space="preserve">Senior Sustainability Consultant:</w:t>
      </w:r>
      <w:r>
        <w:t xml:space="preserve"> </w:t>
      </w:r>
      <w:r>
        <w:t xml:space="preserve">zreeoiguvd</w:t>
      </w:r>
    </w:p>
    <w:p>
      <w:pPr>
        <w:pStyle w:val="BodyText"/>
      </w:pPr>
      <w:r>
        <w:t xml:space="preserve">This report is generated based on available data and industry standards. While every effort has been made to ensure accuracy, the estimations are subject to the quality and completeness of the input data and the inherent complexities of life cycle assessment modeling. This document is intended for internal use and strategic planning by upxsdnzqtr.</w:t>
      </w:r>
    </w:p>
    <w:bookmarkEnd w:id="21"/>
    <w:bookmarkStart w:id="55" w:name="Xfcf30a208dcd26e847ebbc5470373395c5897f0"/>
    <w:p>
      <w:pPr>
        <w:pStyle w:val="Heading1"/>
      </w:pPr>
      <w:r>
        <w:t xml:space="preserve">Product Carbon Footprint Analysis: htijovskwi</w:t>
      </w:r>
    </w:p>
    <w:p>
      <w:pPr>
        <w:pStyle w:val="FirstParagraph"/>
      </w:pPr>
      <w:r>
        <w:t xml:space="preserve">Generated Date: May 27,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t xml:space="preserve">htijovskwi</w:t>
      </w:r>
      <w:r>
        <w:t xml:space="preserve">, a smart home device manufactured by</w:t>
      </w:r>
      <w:r>
        <w:t xml:space="preserve"> </w:t>
      </w:r>
      <w:r>
        <w:t xml:space="preserve">upxsdnzqtr</w:t>
      </w:r>
      <w:r>
        <w:t xml:space="preserve">. Conducted by Senior Sustainability Consultant</w:t>
      </w:r>
      <w:r>
        <w:t xml:space="preserve"> </w:t>
      </w:r>
      <w:r>
        <w:t xml:space="preserve">zreeoiguvd</w:t>
      </w:r>
      <w:r>
        <w:t xml:space="preserve">, this analysis rigorously adheres to the</w:t>
      </w:r>
      <w:r>
        <w:t xml:space="preserve"> </w:t>
      </w:r>
      <w:r>
        <w:t xml:space="preserve">GHG Protocol</w:t>
      </w:r>
      <w:r>
        <w:t xml:space="preserve"> </w:t>
      </w:r>
      <w:r>
        <w:t xml:space="preserve">standards, incorporating the latest 2026 Land Sector and Removals (LSR) Standard updates and strict Scope 3 compliance requirements. The primary goal is to quantify the greenhouse gas (GHG) emissions associated with the product\'s entire lifecycle, from raw material acquisition to end-of-life, within a factory-gate system boundary. By identifying emission hotspots, this report aims to provide upxsdnzqtr with actionable insights for enhancing the environmental performance and sustainability of htijovskwi and its broader product portfolio.</w:t>
      </w:r>
    </w:p>
    <w:p>
      <w:r>
        <w:pict>
          <v:rect style="width:0;height:1.5pt" o:hralign="center" o:hrstd="t" o:hr="t"/>
        </w:pict>
      </w:r>
    </w:p>
    <w:bookmarkEnd w:id="22"/>
    <w:bookmarkStart w:id="23" w:name="table-of-contents"/>
    <w:p>
      <w:pPr>
        <w:pStyle w:val="Heading2"/>
      </w:pPr>
      <w:r>
        <w:t xml:space="preserve">Table of Contents</w:t>
      </w:r>
    </w:p>
    <w:p>
      <w:pPr>
        <w:numPr>
          <w:ilvl w:val="0"/>
          <w:numId w:val="1001"/>
        </w:numPr>
        <w:pStyle w:val="Compact"/>
      </w:pPr>
      <w:hyperlink w:anchor="introduction">
        <w:r>
          <w:rPr>
            <w:rStyle w:val="Hyperlink"/>
          </w:rPr>
          <w:t xml:space="preserve">1. Introduction</w:t>
        </w:r>
      </w:hyperlink>
    </w:p>
    <w:p>
      <w:pPr>
        <w:numPr>
          <w:ilvl w:val="0"/>
          <w:numId w:val="1001"/>
        </w:numPr>
        <w:pStyle w:val="Compact"/>
      </w:pPr>
      <w:hyperlink w:anchor="methodology">
        <w:r>
          <w:rPr>
            <w:rStyle w:val="Hyperlink"/>
          </w:rPr>
          <w:t xml:space="preserve">2. Methodology</w:t>
        </w:r>
      </w:hyperlink>
    </w:p>
    <w:p>
      <w:pPr>
        <w:numPr>
          <w:ilvl w:val="1"/>
          <w:numId w:val="1002"/>
        </w:numPr>
        <w:pStyle w:val="Compact"/>
      </w:pPr>
      <w:hyperlink w:anchor="scope-definition">
        <w:r>
          <w:rPr>
            <w:rStyle w:val="Hyperlink"/>
          </w:rPr>
          <w:t xml:space="preserve">2.1. Define Scope</w:t>
        </w:r>
      </w:hyperlink>
    </w:p>
    <w:p>
      <w:pPr>
        <w:numPr>
          <w:ilvl w:val="1"/>
          <w:numId w:val="1002"/>
        </w:numPr>
        <w:pStyle w:val="Compact"/>
      </w:pPr>
      <w:hyperlink w:anchor="lifecycle-mapping">
        <w:r>
          <w:rPr>
            <w:rStyle w:val="Hyperlink"/>
          </w:rPr>
          <w:t xml:space="preserve">2.2. Map Lifecycle</w:t>
        </w:r>
      </w:hyperlink>
    </w:p>
    <w:p>
      <w:pPr>
        <w:numPr>
          <w:ilvl w:val="1"/>
          <w:numId w:val="1002"/>
        </w:numPr>
        <w:pStyle w:val="Compact"/>
      </w:pPr>
      <w:hyperlink w:anchor="data-collection">
        <w:r>
          <w:rPr>
            <w:rStyle w:val="Hyperlink"/>
          </w:rPr>
          <w:t xml:space="preserve">2.3. Collect Data</w:t>
        </w:r>
      </w:hyperlink>
    </w:p>
    <w:p>
      <w:pPr>
        <w:numPr>
          <w:ilvl w:val="1"/>
          <w:numId w:val="1002"/>
        </w:numPr>
        <w:pStyle w:val="Compact"/>
      </w:pPr>
      <w:hyperlink w:anchor="emissions-calculation">
        <w:r>
          <w:rPr>
            <w:rStyle w:val="Hyperlink"/>
          </w:rPr>
          <w:t xml:space="preserve">2.4. Calculate Emissions</w:t>
        </w:r>
      </w:hyperlink>
    </w:p>
    <w:p>
      <w:pPr>
        <w:numPr>
          <w:ilvl w:val="1"/>
          <w:numId w:val="1002"/>
        </w:numPr>
        <w:pStyle w:val="Compact"/>
      </w:pPr>
      <w:hyperlink w:anchor="review-report">
        <w:r>
          <w:rPr>
            <w:rStyle w:val="Hyperlink"/>
          </w:rPr>
          <w:t xml:space="preserve">2.5. Review &amp; Report</w:t>
        </w:r>
      </w:hyperlink>
    </w:p>
    <w:p>
      <w:pPr>
        <w:numPr>
          <w:ilvl w:val="1"/>
          <w:numId w:val="1002"/>
        </w:numPr>
        <w:pStyle w:val="Compact"/>
      </w:pPr>
      <w:hyperlink w:anchor="ghg-protocol-adherence">
        <w:r>
          <w:rPr>
            <w:rStyle w:val="Hyperlink"/>
          </w:rPr>
          <w:t xml:space="preserve">2.6. GHG Protocol Adherence</w:t>
        </w:r>
      </w:hyperlink>
    </w:p>
    <w:p>
      <w:pPr>
        <w:numPr>
          <w:ilvl w:val="1"/>
          <w:numId w:val="1002"/>
        </w:numPr>
        <w:pStyle w:val="Compact"/>
      </w:pPr>
      <w:hyperlink w:anchor="lsr-update">
        <w:r>
          <w:rPr>
            <w:rStyle w:val="Hyperlink"/>
          </w:rPr>
          <w:t xml:space="preserve">2.7. 2026 LSR Update</w:t>
        </w:r>
      </w:hyperlink>
    </w:p>
    <w:p>
      <w:pPr>
        <w:numPr>
          <w:ilvl w:val="1"/>
          <w:numId w:val="1002"/>
        </w:numPr>
        <w:pStyle w:val="Compact"/>
      </w:pPr>
      <w:hyperlink w:anchor="scope3-compliance">
        <w:r>
          <w:rPr>
            <w:rStyle w:val="Hyperlink"/>
          </w:rPr>
          <w:t xml:space="preserve">2.8. Scope 3 Compliance</w:t>
        </w:r>
      </w:hyperlink>
    </w:p>
    <w:p>
      <w:pPr>
        <w:numPr>
          <w:ilvl w:val="0"/>
          <w:numId w:val="1001"/>
        </w:numPr>
        <w:pStyle w:val="Compact"/>
      </w:pPr>
      <w:hyperlink w:anchor="product-parameters">
        <w:r>
          <w:rPr>
            <w:rStyle w:val="Hyperlink"/>
          </w:rPr>
          <w:t xml:space="preserve">3. Product Description and Parameters</w:t>
        </w:r>
      </w:hyperlink>
    </w:p>
    <w:p>
      <w:pPr>
        <w:numPr>
          <w:ilvl w:val="1"/>
          <w:numId w:val="1003"/>
        </w:numPr>
        <w:pStyle w:val="Compact"/>
      </w:pPr>
      <w:hyperlink w:anchor="bom">
        <w:r>
          <w:rPr>
            <w:rStyle w:val="Hyperlink"/>
          </w:rPr>
          <w:t xml:space="preserve">3.1. Detailed Bill of Materials (BOM)</w:t>
        </w:r>
      </w:hyperlink>
    </w:p>
    <w:p>
      <w:pPr>
        <w:numPr>
          <w:ilvl w:val="1"/>
          <w:numId w:val="1003"/>
        </w:numPr>
        <w:pStyle w:val="Compact"/>
      </w:pPr>
      <w:hyperlink w:anchor="production-energy">
        <w:r>
          <w:rPr>
            <w:rStyle w:val="Hyperlink"/>
          </w:rPr>
          <w:t xml:space="preserve">3.2. Production &amp; Energy Data</w:t>
        </w:r>
      </w:hyperlink>
    </w:p>
    <w:p>
      <w:pPr>
        <w:numPr>
          <w:ilvl w:val="1"/>
          <w:numId w:val="1003"/>
        </w:numPr>
        <w:pStyle w:val="Compact"/>
      </w:pPr>
      <w:hyperlink w:anchor="logistics-data">
        <w:r>
          <w:rPr>
            <w:rStyle w:val="Hyperlink"/>
          </w:rPr>
          <w:t xml:space="preserve">3.3. Logistics Data</w:t>
        </w:r>
      </w:hyperlink>
    </w:p>
    <w:p>
      <w:pPr>
        <w:numPr>
          <w:ilvl w:val="1"/>
          <w:numId w:val="1003"/>
        </w:numPr>
        <w:pStyle w:val="Compact"/>
      </w:pPr>
      <w:hyperlink w:anchor="use-phase">
        <w:r>
          <w:rPr>
            <w:rStyle w:val="Hyperlink"/>
          </w:rPr>
          <w:t xml:space="preserve">3.4. Use Phase Data</w:t>
        </w:r>
      </w:hyperlink>
    </w:p>
    <w:p>
      <w:pPr>
        <w:numPr>
          <w:ilvl w:val="1"/>
          <w:numId w:val="1003"/>
        </w:numPr>
        <w:pStyle w:val="Compact"/>
      </w:pPr>
      <w:hyperlink w:anchor="eol-data">
        <w:r>
          <w:rPr>
            <w:rStyle w:val="Hyperlink"/>
          </w:rPr>
          <w:t xml:space="preserve">3.5. End-of-Life (EoL) Data</w:t>
        </w:r>
      </w:hyperlink>
    </w:p>
    <w:p>
      <w:pPr>
        <w:numPr>
          <w:ilvl w:val="0"/>
          <w:numId w:val="1001"/>
        </w:numPr>
        <w:pStyle w:val="Compact"/>
      </w:pPr>
      <w:hyperlink w:anchor="emissions-calculation-analysis">
        <w:r>
          <w:rPr>
            <w:rStyle w:val="Hyperlink"/>
          </w:rPr>
          <w:t xml:space="preserve">4. Emissions Calculation and Analysis</w:t>
        </w:r>
      </w:hyperlink>
    </w:p>
    <w:p>
      <w:pPr>
        <w:numPr>
          <w:ilvl w:val="1"/>
          <w:numId w:val="1004"/>
        </w:numPr>
        <w:pStyle w:val="Compact"/>
      </w:pPr>
      <w:hyperlink w:anchor="assumptions-ef">
        <w:r>
          <w:rPr>
            <w:rStyle w:val="Hyperlink"/>
          </w:rPr>
          <w:t xml:space="preserve">4.1. Emission Factor Assumptions</w:t>
        </w:r>
      </w:hyperlink>
    </w:p>
    <w:p>
      <w:pPr>
        <w:numPr>
          <w:ilvl w:val="1"/>
          <w:numId w:val="1004"/>
        </w:numPr>
        <w:pStyle w:val="Compact"/>
      </w:pPr>
      <w:hyperlink w:anchor="material-emissions">
        <w:r>
          <w:rPr>
            <w:rStyle w:val="Hyperlink"/>
          </w:rPr>
          <w:t xml:space="preserve">4.2. Material Acquisition &amp; Pre-processing (Scope 3, Category 1)</w:t>
        </w:r>
      </w:hyperlink>
    </w:p>
    <w:p>
      <w:pPr>
        <w:numPr>
          <w:ilvl w:val="1"/>
          <w:numId w:val="1004"/>
        </w:numPr>
        <w:pStyle w:val="Compact"/>
      </w:pPr>
      <w:hyperlink w:anchor="production-emissions">
        <w:r>
          <w:rPr>
            <w:rStyle w:val="Hyperlink"/>
          </w:rPr>
          <w:t xml:space="preserve">4.3. Production Phase (Scope 2 &amp; Scope 3, Category 3)</w:t>
        </w:r>
      </w:hyperlink>
    </w:p>
    <w:p>
      <w:pPr>
        <w:numPr>
          <w:ilvl w:val="1"/>
          <w:numId w:val="1004"/>
        </w:numPr>
        <w:pStyle w:val="Compact"/>
      </w:pPr>
      <w:hyperlink w:anchor="transport-emissions">
        <w:r>
          <w:rPr>
            <w:rStyle w:val="Hyperlink"/>
          </w:rPr>
          <w:t xml:space="preserve">4.4. Upstream Transportation &amp; Distribution (Scope 3, Category 4)</w:t>
        </w:r>
      </w:hyperlink>
    </w:p>
    <w:p>
      <w:pPr>
        <w:numPr>
          <w:ilvl w:val="1"/>
          <w:numId w:val="1004"/>
        </w:numPr>
        <w:pStyle w:val="Compact"/>
      </w:pPr>
      <w:hyperlink w:anchor="use-emissions">
        <w:r>
          <w:rPr>
            <w:rStyle w:val="Hyperlink"/>
          </w:rPr>
          <w:t xml:space="preserve">4.5. Use Phase (Scope 3, Category 11)</w:t>
        </w:r>
      </w:hyperlink>
    </w:p>
    <w:p>
      <w:pPr>
        <w:numPr>
          <w:ilvl w:val="1"/>
          <w:numId w:val="1004"/>
        </w:numPr>
        <w:pStyle w:val="Compact"/>
      </w:pPr>
      <w:hyperlink w:anchor="eol-emissions">
        <w:r>
          <w:rPr>
            <w:rStyle w:val="Hyperlink"/>
          </w:rPr>
          <w:t xml:space="preserve">4.6. End-of-Life Treatment (Scope 3, Category 12)</w:t>
        </w:r>
      </w:hyperlink>
    </w:p>
    <w:p>
      <w:pPr>
        <w:numPr>
          <w:ilvl w:val="1"/>
          <w:numId w:val="1004"/>
        </w:numPr>
        <w:pStyle w:val="Compact"/>
      </w:pPr>
      <w:hyperlink w:anchor="total-pcf">
        <w:r>
          <w:rPr>
            <w:rStyle w:val="Hyperlink"/>
          </w:rPr>
          <w:t xml:space="preserve">4.7. Total Product Carbon Footprint</w:t>
        </w:r>
      </w:hyperlink>
    </w:p>
    <w:p>
      <w:pPr>
        <w:numPr>
          <w:ilvl w:val="1"/>
          <w:numId w:val="1004"/>
        </w:numPr>
        <w:pStyle w:val="Compact"/>
      </w:pPr>
      <w:hyperlink w:anchor="ghg-scopes-summary">
        <w:r>
          <w:rPr>
            <w:rStyle w:val="Hyperlink"/>
          </w:rPr>
          <w:t xml:space="preserve">4.8. GHG Emissions by Scope</w:t>
        </w:r>
      </w:hyperlink>
    </w:p>
    <w:p>
      <w:pPr>
        <w:numPr>
          <w:ilvl w:val="0"/>
          <w:numId w:val="1001"/>
        </w:numPr>
        <w:pStyle w:val="Compact"/>
      </w:pPr>
      <w:hyperlink w:anchor="hotspots-recommendations">
        <w:r>
          <w:rPr>
            <w:rStyle w:val="Hyperlink"/>
          </w:rPr>
          <w:t xml:space="preserve">5. Hotspots and Recommendations</w:t>
        </w:r>
      </w:hyperlink>
    </w:p>
    <w:p>
      <w:pPr>
        <w:numPr>
          <w:ilvl w:val="0"/>
          <w:numId w:val="1001"/>
        </w:numPr>
        <w:pStyle w:val="Compact"/>
      </w:pPr>
      <w:hyperlink w:anchor="conclusion">
        <w:r>
          <w:rPr>
            <w:rStyle w:val="Hyperlink"/>
          </w:rPr>
          <w:t xml:space="preserve">6. Conclusion</w:t>
        </w:r>
      </w:hyperlink>
    </w:p>
    <w:p>
      <w:pPr>
        <w:numPr>
          <w:ilvl w:val="0"/>
          <w:numId w:val="1001"/>
        </w:numPr>
        <w:pStyle w:val="Compact"/>
      </w:pPr>
      <w:hyperlink w:anchor="disclaimer-assumptions">
        <w:r>
          <w:rPr>
            <w:rStyle w:val="Hyperlink"/>
          </w:rPr>
          <w:t xml:space="preserve">7. Disclaimer on Assumptions</w:t>
        </w:r>
      </w:hyperlink>
    </w:p>
    <w:p>
      <w:pPr>
        <w:numPr>
          <w:ilvl w:val="0"/>
          <w:numId w:val="1001"/>
        </w:numPr>
        <w:pStyle w:val="Compact"/>
      </w:pPr>
      <w:hyperlink w:anchor="references">
        <w:r>
          <w:rPr>
            <w:rStyle w:val="Hyperlink"/>
          </w:rPr>
          <w:t xml:space="preserve">8. References</w:t>
        </w:r>
      </w:hyperlink>
    </w:p>
    <w:p>
      <w:r>
        <w:pict>
          <v:rect style="width:0;height:1.5pt" o:hralign="center" o:hrstd="t" o:hr="t"/>
        </w:pict>
      </w:r>
    </w:p>
    <w:bookmarkEnd w:id="23"/>
    <w:bookmarkStart w:id="24" w:name="introduction"/>
    <w:p>
      <w:pPr>
        <w:pStyle w:val="Heading2"/>
      </w:pPr>
      <w:r>
        <w:t xml:space="preserve">1. Introduction</w:t>
      </w:r>
    </w:p>
    <w:p>
      <w:pPr>
        <w:pStyle w:val="FirstParagraph"/>
      </w:pPr>
      <w:r>
        <w:t xml:space="preserve">In response to increasing global climate concerns and regulatory demands,</w:t>
      </w:r>
      <w:r>
        <w:t xml:space="preserve"> </w:t>
      </w:r>
      <w:r>
        <w:t xml:space="preserve">upxsdnzqtr</w:t>
      </w:r>
      <w:r>
        <w:t xml:space="preserve"> </w:t>
      </w:r>
      <w:r>
        <w:t xml:space="preserve">commissioned this Product Carbon Footprint (PCF) analysis for its</w:t>
      </w:r>
      <w:r>
        <w:t xml:space="preserve"> </w:t>
      </w:r>
      <w:r>
        <w:t xml:space="preserve">htijovskwi</w:t>
      </w:r>
      <w:r>
        <w:t xml:space="preserve"> </w:t>
      </w:r>
      <w:r>
        <w:t xml:space="preserve">product. This report, prepared by</w:t>
      </w:r>
      <w:r>
        <w:t xml:space="preserve"> </w:t>
      </w:r>
      <w:r>
        <w:t xml:space="preserve">zreeoiguvd</w:t>
      </w:r>
      <w:r>
        <w:t xml:space="preserve">, Senior Sustainability Consultant, aims to quantify the greenhouse gas (GHG) emissions across the product’s lifecycle. The findings will support strategic decision-making, identify opportunities for emission reductions, and bolster upxsdnzqtr\'s commitment to sustainability, aligning with the stringent requirements of the</w:t>
      </w:r>
      <w:r>
        <w:t xml:space="preserve"> </w:t>
      </w:r>
      <w:r>
        <w:t xml:space="preserve">GHG Protocol</w:t>
      </w:r>
      <w:r>
        <w:t xml:space="preserve">.</w:t>
      </w:r>
    </w:p>
    <w:bookmarkEnd w:id="24"/>
    <w:bookmarkStart w:id="33" w:name="methodology"/>
    <w:p>
      <w:pPr>
        <w:pStyle w:val="Heading2"/>
      </w:pPr>
      <w:r>
        <w:t xml:space="preserve">2. Methodology</w:t>
      </w:r>
    </w:p>
    <w:p>
      <w:pPr>
        <w:pStyle w:val="FirstParagraph"/>
      </w:pPr>
      <w:r>
        <w:t xml:space="preserve">The Product Carbon Footprint (PCF) analysis for htijovskwi was conducted following the five-step methodology prescribed by the GHG Protocol Product Standard. This ensures a comprehensive, transparent, and consistent assessment of environmental impacts.</w:t>
      </w:r>
    </w:p>
    <w:bookmarkStart w:id="25" w:name="scope-definition"/>
    <w:p>
      <w:pPr>
        <w:pStyle w:val="Heading3"/>
      </w:pPr>
      <w:r>
        <w:t xml:space="preserve">2.1. Define Scope</w:t>
      </w:r>
    </w:p>
    <w:p>
      <w:pPr>
        <w:numPr>
          <w:ilvl w:val="0"/>
          <w:numId w:val="1005"/>
        </w:numPr>
        <w:pStyle w:val="Compact"/>
      </w:pPr>
      <w:r>
        <w:rPr>
          <w:bCs/>
          <w:b/>
        </w:rPr>
        <w:t xml:space="preserve">Functional Unit:</w:t>
      </w:r>
      <w:r>
        <w:t xml:space="preserve"> </w:t>
      </w:r>
      <w:r>
        <w:t xml:space="preserve">1.0 unit of htijovskwi. This defines the quantified performance of the product system for use as a reference unit.</w:t>
      </w:r>
    </w:p>
    <w:p>
      <w:pPr>
        <w:numPr>
          <w:ilvl w:val="0"/>
          <w:numId w:val="1005"/>
        </w:numPr>
        <w:pStyle w:val="Compact"/>
      </w:pPr>
      <w:r>
        <w:rPr>
          <w:bCs/>
          <w:b/>
        </w:rPr>
        <w:t xml:space="preserve">System Boundary:</w:t>
      </w:r>
      <w:r>
        <w:t xml:space="preserve"> </w:t>
      </w:r>
      <w:r>
        <w:t xml:space="preserve">The analysis adopts a "factory-gate" approach. This includes raw material extraction, component manufacturing, production at the final assembly factory, and transportation up to the point of dispatch from the factory. While the formal system boundary is factory-gate, the analysis is expanded to include critical downstream impacts (Use Phase and End-of-Life) as per common PCF practice for comprehensive insight, categorizing them under Scope 3.</w:t>
      </w:r>
    </w:p>
    <w:p>
      <w:pPr>
        <w:numPr>
          <w:ilvl w:val="0"/>
          <w:numId w:val="1005"/>
        </w:numPr>
        <w:pStyle w:val="Compact"/>
      </w:pPr>
      <w:r>
        <w:rPr>
          <w:bCs/>
          <w:b/>
        </w:rPr>
        <w:t xml:space="preserve">Geographic Scope:</w:t>
      </w:r>
      <w:r>
        <w:t xml:space="preserve"> </w:t>
      </w:r>
      <w:r>
        <w:t xml:space="preserve">Final Production Country: China, with a Supply Chain Focus on Europe. This necessitates the use of country-specific emission factors where available, particularly for electricity generation.</w:t>
      </w:r>
    </w:p>
    <w:p>
      <w:pPr>
        <w:numPr>
          <w:ilvl w:val="0"/>
          <w:numId w:val="1005"/>
        </w:numPr>
        <w:pStyle w:val="Compact"/>
      </w:pPr>
      <w:r>
        <w:rPr>
          <w:bCs/>
          <w:b/>
        </w:rPr>
        <w:t xml:space="preserve">Allocation:</w:t>
      </w:r>
      <w:r>
        <w:t xml:space="preserve"> </w:t>
      </w:r>
      <w:r>
        <w:t xml:space="preserve">Emissions are allocated directly to the functional unit where possible. For shared processes (e.g., factory utilities), allocation is based on mass or energy intensity per unit of production.</w:t>
      </w:r>
    </w:p>
    <w:bookmarkEnd w:id="25"/>
    <w:bookmarkStart w:id="26" w:name="lifecycle-mapping"/>
    <w:p>
      <w:pPr>
        <w:pStyle w:val="Heading3"/>
      </w:pPr>
      <w:r>
        <w:t xml:space="preserve">2.2. Map Lifecycle (LCI Inventory Stages)</w:t>
      </w:r>
    </w:p>
    <w:p>
      <w:pPr>
        <w:pStyle w:val="FirstParagraph"/>
      </w:pPr>
      <w:r>
        <w:t xml:space="preserve">The lifecycle of htijovskwi is mapped through the following stages:</w:t>
      </w:r>
    </w:p>
    <w:p>
      <w:pPr>
        <w:numPr>
          <w:ilvl w:val="0"/>
          <w:numId w:val="1006"/>
        </w:numPr>
        <w:pStyle w:val="Compact"/>
      </w:pPr>
      <w:r>
        <w:rPr>
          <w:bCs/>
          <w:b/>
        </w:rPr>
        <w:t xml:space="preserve">Raw Material Acquisition &amp; Pre-processing:</w:t>
      </w:r>
      <w:r>
        <w:t xml:space="preserve"> </w:t>
      </w:r>
      <w:r>
        <w:t xml:space="preserve">Extraction, cultivation, and initial processing of all materials comprising the product and its packaging (e.g., plastics, metals, electronics, cardboard).</w:t>
      </w:r>
    </w:p>
    <w:p>
      <w:pPr>
        <w:numPr>
          <w:ilvl w:val="0"/>
          <w:numId w:val="1006"/>
        </w:numPr>
        <w:pStyle w:val="Compact"/>
      </w:pPr>
      <w:r>
        <w:rPr>
          <w:bCs/>
          <w:b/>
        </w:rPr>
        <w:t xml:space="preserve">Manufacturing:</w:t>
      </w:r>
      <w:r>
        <w:t xml:space="preserve"> </w:t>
      </w:r>
      <w:r>
        <w:t xml:space="preserve">Production of components, sub-assemblies, and final assembly of the product. This includes energy consumption at the production facilities.</w:t>
      </w:r>
    </w:p>
    <w:p>
      <w:pPr>
        <w:numPr>
          <w:ilvl w:val="0"/>
          <w:numId w:val="1006"/>
        </w:numPr>
        <w:pStyle w:val="Compact"/>
      </w:pPr>
      <w:r>
        <w:rPr>
          <w:bCs/>
          <w:b/>
        </w:rPr>
        <w:t xml:space="preserve">Transportation &amp; Distribution:</w:t>
      </w:r>
      <w:r>
        <w:t xml:space="preserve"> </w:t>
      </w:r>
      <w:r>
        <w:t xml:space="preserve">Inbound logistics of raw materials and components to the factory, and outbound logistics to the first point of sale or distribution center (within the "factory-gate" boundary, plus consideration for supply chain focus to Europe).</w:t>
      </w:r>
    </w:p>
    <w:p>
      <w:pPr>
        <w:numPr>
          <w:ilvl w:val="0"/>
          <w:numId w:val="1006"/>
        </w:numPr>
        <w:pStyle w:val="Compact"/>
      </w:pPr>
      <w:r>
        <w:rPr>
          <w:bCs/>
          <w:b/>
        </w:rPr>
        <w:t xml:space="preserve">Use Phase:</w:t>
      </w:r>
      <w:r>
        <w:t xml:space="preserve"> </w:t>
      </w:r>
      <w:r>
        <w:t xml:space="preserve">Energy consumption during the product\'s lifespan by the end-user (e.g., electricity for operation). This is included for comprehensive understanding despite the \'factory-gate\' primary boundary.</w:t>
      </w:r>
    </w:p>
    <w:p>
      <w:pPr>
        <w:numPr>
          <w:ilvl w:val="0"/>
          <w:numId w:val="1006"/>
        </w:numPr>
        <w:pStyle w:val="Compact"/>
      </w:pPr>
      <w:r>
        <w:rPr>
          <w:bCs/>
          <w:b/>
        </w:rPr>
        <w:t xml:space="preserve">End-of-Life Treatment:</w:t>
      </w:r>
      <w:r>
        <w:t xml:space="preserve"> </w:t>
      </w:r>
      <w:r>
        <w:t xml:space="preserve">Disposal or recycling processes for the product and its packaging after its useful life. This is included for comprehensive understanding despite the \'factory-gate\' primary boundary.</w:t>
      </w:r>
    </w:p>
    <w:bookmarkEnd w:id="26"/>
    <w:bookmarkStart w:id="27" w:name="data-collection"/>
    <w:p>
      <w:pPr>
        <w:pStyle w:val="Heading3"/>
      </w:pPr>
      <w:r>
        <w:t xml:space="preserve">2.3. Collect Data (Primary/Secondary Data Points)</w:t>
      </w:r>
    </w:p>
    <w:p>
      <w:pPr>
        <w:pStyle w:val="FirstParagraph"/>
      </w:pPr>
      <w:r>
        <w:t xml:space="preserve">Data collection involved leveraging both primary and secondary data sources:</w:t>
      </w:r>
    </w:p>
    <w:p>
      <w:pPr>
        <w:numPr>
          <w:ilvl w:val="0"/>
          <w:numId w:val="1007"/>
        </w:numPr>
        <w:pStyle w:val="Compact"/>
      </w:pPr>
      <w:r>
        <w:rPr>
          <w:bCs/>
          <w:b/>
        </w:rPr>
        <w:t xml:space="preserve">Primary Data:</w:t>
      </w:r>
      <w:r>
        <w:t xml:space="preserve"> </w:t>
      </w:r>
      <w:r>
        <w:t xml:space="preserve">Detailed Bill of Materials (BOM) from</w:t>
      </w:r>
      <w:r>
        <w:t xml:space="preserve"> </w:t>
      </w:r>
      <w:r>
        <w:t xml:space="preserve">upxsdnzqtr</w:t>
      </w:r>
      <w:r>
        <w:t xml:space="preserve">, specific energy usage in production, transport modes, distances, and end-of-life scenarios.</w:t>
      </w:r>
    </w:p>
    <w:p>
      <w:pPr>
        <w:numPr>
          <w:ilvl w:val="0"/>
          <w:numId w:val="1007"/>
        </w:numPr>
        <w:pStyle w:val="Compact"/>
      </w:pPr>
      <w:r>
        <w:rPr>
          <w:bCs/>
          <w:b/>
        </w:rPr>
        <w:t xml:space="preserve">Secondary Data:</w:t>
      </w:r>
      <w:r>
        <w:t xml:space="preserve"> </w:t>
      </w:r>
      <w:r>
        <w:t xml:space="preserve">Industry-standard emission factors for materials, energy grids, and transportation, primarily sourced from databases like Ecoinvent and DEFRA, or other authoritative sources.</w:t>
      </w:r>
    </w:p>
    <w:bookmarkEnd w:id="27"/>
    <w:bookmarkStart w:id="28" w:name="emissions-calculation"/>
    <w:p>
      <w:pPr>
        <w:pStyle w:val="Heading3"/>
      </w:pPr>
      <w:r>
        <w:t xml:space="preserve">2.4. Calculate Emissions (Activity * Emission Factor = CO2e)</w:t>
      </w:r>
    </w:p>
    <w:p>
      <w:pPr>
        <w:pStyle w:val="FirstParagraph"/>
      </w:pPr>
      <w:r>
        <w:t xml:space="preserve">Emissions for each lifecycle stage are calculated by multiplying activity data (e.g., kg of material, kWh of electricity, tonne-km of transport) by relevant emission factors (e.g., kg CO2e/kg material, kg CO2e/kWh, kg CO2e/tonne-km). All greenhouse gas emissions (CO2, CH4, N2O, HFCs, PFCs, SF6, NF3) are converted to their carbon dioxide equivalent (CO2e) using their respective Global Warming Potentials (GWP100) as per IPCC AR5 guidelines.</w:t>
      </w:r>
    </w:p>
    <w:bookmarkEnd w:id="28"/>
    <w:bookmarkStart w:id="29" w:name="review-report"/>
    <w:p>
      <w:pPr>
        <w:pStyle w:val="Heading3"/>
      </w:pPr>
      <w:r>
        <w:t xml:space="preserve">2.5. Review &amp; Report (Hotspots and Reliability)</w:t>
      </w:r>
    </w:p>
    <w:p>
      <w:pPr>
        <w:pStyle w:val="FirstParagraph"/>
      </w:pPr>
      <w:r>
        <w:t xml:space="preserve">The calculated PCF undergoes review to identify emission hotspots—areas contributing most significantly to the total footprint. Reliability of data and assumptions is assessed, and recommendations for improvement are formulated.</w:t>
      </w:r>
    </w:p>
    <w:bookmarkEnd w:id="29"/>
    <w:bookmarkStart w:id="30" w:name="ghg-protocol-adherence"/>
    <w:p>
      <w:pPr>
        <w:pStyle w:val="Heading3"/>
      </w:pPr>
      <w:r>
        <w:t xml:space="preserve">2.6. GHG Protocol Adherence</w:t>
      </w:r>
    </w:p>
    <w:p>
      <w:pPr>
        <w:pStyle w:val="FirstParagraph"/>
      </w:pPr>
      <w:r>
        <w:t xml:space="preserve">This analysis strictly adheres to the</w:t>
      </w:r>
      <w:r>
        <w:t xml:space="preserve"> </w:t>
      </w:r>
      <w:r>
        <w:t xml:space="preserve">GHG Protocol Corporate Accounting and Reporting Standard</w:t>
      </w:r>
      <w:r>
        <w:t xml:space="preserve"> </w:t>
      </w:r>
      <w:r>
        <w:t xml:space="preserve">and the</w:t>
      </w:r>
      <w:r>
        <w:t xml:space="preserve"> </w:t>
      </w:r>
      <w:r>
        <w:t xml:space="preserve">Corporate Value Chain (Scope 3) Accounting and Reporting Standard</w:t>
      </w:r>
      <w:r>
        <w:t xml:space="preserve">. Emissions are categorized as follows:</w:t>
      </w:r>
    </w:p>
    <w:p>
      <w:pPr>
        <w:numPr>
          <w:ilvl w:val="0"/>
          <w:numId w:val="1008"/>
        </w:numPr>
        <w:pStyle w:val="Compact"/>
      </w:pPr>
      <w:r>
        <w:rPr>
          <w:bCs/>
          <w:b/>
        </w:rPr>
        <w:t xml:space="preserve">Scope 1: Direct GHG Emissions</w:t>
      </w:r>
      <w:r>
        <w:t xml:space="preserve"> </w:t>
      </w:r>
      <w:r>
        <w:t xml:space="preserve">- Emissions from sources owned or controlled by</w:t>
      </w:r>
      <w:r>
        <w:t xml:space="preserve"> </w:t>
      </w:r>
      <w:r>
        <w:t xml:space="preserve">upxsdnzqtr</w:t>
      </w:r>
      <w:r>
        <w:t xml:space="preserve"> </w:t>
      </w:r>
      <w:r>
        <w:t xml:space="preserve">(e.g., direct fuel combustion in owned vehicles or facilities). For a product PCF, this would typically cover direct emissions from the manufacturing facility itself, if owned and operated by upxsdnzqtr.</w:t>
      </w:r>
    </w:p>
    <w:p>
      <w:pPr>
        <w:numPr>
          <w:ilvl w:val="0"/>
          <w:numId w:val="1008"/>
        </w:numPr>
        <w:pStyle w:val="Compact"/>
      </w:pPr>
      <w:r>
        <w:rPr>
          <w:bCs/>
          <w:b/>
        </w:rPr>
        <w:t xml:space="preserve">Scope 2: Indirect GHG Emissions from Purchased Energy</w:t>
      </w:r>
      <w:r>
        <w:t xml:space="preserve"> </w:t>
      </w:r>
      <w:r>
        <w:t xml:space="preserve">- Emissions from the generation of purchased electricity, heat, steam, or cooling consumed by</w:t>
      </w:r>
      <w:r>
        <w:t xml:space="preserve"> </w:t>
      </w:r>
      <w:r>
        <w:t xml:space="preserve">upxsdnzqtr</w:t>
      </w:r>
      <w:r>
        <w:t xml:space="preserve">\'s manufacturing operations.</w:t>
      </w:r>
    </w:p>
    <w:p>
      <w:pPr>
        <w:numPr>
          <w:ilvl w:val="0"/>
          <w:numId w:val="1008"/>
        </w:numPr>
        <w:pStyle w:val="Compact"/>
      </w:pPr>
      <w:r>
        <w:rPr>
          <w:bCs/>
          <w:b/>
        </w:rPr>
        <w:t xml:space="preserve">Scope 3: Other Indirect GHG Emissions</w:t>
      </w:r>
      <w:r>
        <w:t xml:space="preserve"> </w:t>
      </w:r>
      <w:r>
        <w:t xml:space="preserve">- All other indirect emissions occurring in the value chain, both upstream and downstream, not covered in Scope 1 or 2. For this PCF, key Scope 3 categories include:</w:t>
      </w:r>
    </w:p>
    <w:p>
      <w:pPr>
        <w:numPr>
          <w:ilvl w:val="1"/>
          <w:numId w:val="1009"/>
        </w:numPr>
        <w:pStyle w:val="Compact"/>
      </w:pPr>
      <w:r>
        <w:rPr>
          <w:bCs/>
          <w:b/>
        </w:rPr>
        <w:t xml:space="preserve">Category 1: Purchased Goods and Services</w:t>
      </w:r>
      <w:r>
        <w:t xml:space="preserve"> </w:t>
      </w:r>
      <w:r>
        <w:t xml:space="preserve">- Emissions from the extraction, production, and transportation of raw materials and components purchased for htijovskwi.</w:t>
      </w:r>
    </w:p>
    <w:p>
      <w:pPr>
        <w:numPr>
          <w:ilvl w:val="1"/>
          <w:numId w:val="1009"/>
        </w:numPr>
        <w:pStyle w:val="Compact"/>
      </w:pPr>
      <w:r>
        <w:rPr>
          <w:bCs/>
          <w:b/>
        </w:rPr>
        <w:t xml:space="preserve">Category 3: Fuel- and Energy-Related Activities Not Included in Scope 1 or Scope 2</w:t>
      </w:r>
      <w:r>
        <w:t xml:space="preserve"> </w:t>
      </w:r>
      <w:r>
        <w:t xml:space="preserve">- Upstream (WTT) emissions associated with the production of purchased electricity.</w:t>
      </w:r>
    </w:p>
    <w:p>
      <w:pPr>
        <w:numPr>
          <w:ilvl w:val="1"/>
          <w:numId w:val="1009"/>
        </w:numPr>
        <w:pStyle w:val="Compact"/>
      </w:pPr>
      <w:r>
        <w:rPr>
          <w:bCs/>
          <w:b/>
        </w:rPr>
        <w:t xml:space="preserve">Category 4: Upstream Transportation and Distribution</w:t>
      </w:r>
      <w:r>
        <w:t xml:space="preserve"> </w:t>
      </w:r>
      <w:r>
        <w:t xml:space="preserve">- Emissions from third-party transportation of purchased products (materials and components) to upxsdnzqtr\'s facilities.</w:t>
      </w:r>
    </w:p>
    <w:p>
      <w:pPr>
        <w:numPr>
          <w:ilvl w:val="1"/>
          <w:numId w:val="1009"/>
        </w:numPr>
        <w:pStyle w:val="Compact"/>
      </w:pPr>
      <w:r>
        <w:rPr>
          <w:bCs/>
          <w:b/>
        </w:rPr>
        <w:t xml:space="preserve">Category 9: Downstream Transportation and Distribution</w:t>
      </w:r>
      <w:r>
        <w:t xml:space="preserve"> </w:t>
      </w:r>
      <w:r>
        <w:t xml:space="preserve">- Emissions from the transportation of sold products (htijovskwi) to the end-user (e.g., last-mile delivery).</w:t>
      </w:r>
    </w:p>
    <w:p>
      <w:pPr>
        <w:numPr>
          <w:ilvl w:val="1"/>
          <w:numId w:val="1009"/>
        </w:numPr>
        <w:pStyle w:val="Compact"/>
      </w:pPr>
      <w:r>
        <w:rPr>
          <w:bCs/>
          <w:b/>
        </w:rPr>
        <w:t xml:space="preserve">Category 11: Use of Sold Products</w:t>
      </w:r>
      <w:r>
        <w:t xml:space="preserve"> </w:t>
      </w:r>
      <w:r>
        <w:t xml:space="preserve">- Emissions from the end-user\'s operation of htijovskwi over its lifetime.</w:t>
      </w:r>
    </w:p>
    <w:p>
      <w:pPr>
        <w:numPr>
          <w:ilvl w:val="1"/>
          <w:numId w:val="1009"/>
        </w:numPr>
        <w:pStyle w:val="Compact"/>
      </w:pPr>
      <w:r>
        <w:rPr>
          <w:bCs/>
          <w:b/>
        </w:rPr>
        <w:t xml:space="preserve">Category 12: End-of-Life Treatment of Sold Products</w:t>
      </w:r>
      <w:r>
        <w:t xml:space="preserve"> </w:t>
      </w:r>
      <w:r>
        <w:t xml:space="preserve">- Emissions from the disposal or recycling of htijovskwi at the end of its life.</w:t>
      </w:r>
    </w:p>
    <w:bookmarkEnd w:id="30"/>
    <w:bookmarkStart w:id="31" w:name="lsr-update"/>
    <w:p>
      <w:pPr>
        <w:pStyle w:val="Heading3"/>
      </w:pPr>
      <w:r>
        <w:t xml:space="preserve">2.7. 2026 LSR Update</w:t>
      </w:r>
    </w:p>
    <w:p>
      <w:pPr>
        <w:pStyle w:val="FirstParagraph"/>
      </w:pPr>
      <w:r>
        <w:t xml:space="preserve">This analysis acknowledges and applies the</w:t>
      </w:r>
      <w:r>
        <w:t xml:space="preserve"> </w:t>
      </w:r>
      <w:r>
        <w:t xml:space="preserve">GHG Protocol Land Sector and Removals (LSR) Standard</w:t>
      </w:r>
      <w:r>
        <w:t xml:space="preserve">, released on January 30, 2026, and effective January 1, 2027. This standard provides accounting requirements for land-related emissions, CO₂ removals, and technological CO₂ removals. While a detailed assessment of land-use change specifically tied to htijovskwi\'s bill of materials is not explicitly quantifiable with the provided data, the framework\'s principles for transparent reporting of removals and land sector impacts are integrated where applicable. The accompanying guidance, expected in Q2 2026, will further refine future applications.</w:t>
      </w:r>
    </w:p>
    <w:bookmarkEnd w:id="31"/>
    <w:bookmarkStart w:id="32" w:name="scope3-compliance"/>
    <w:p>
      <w:pPr>
        <w:pStyle w:val="Heading3"/>
      </w:pPr>
      <w:r>
        <w:t xml:space="preserve">2.8. Scope 3 Compliance</w:t>
      </w:r>
    </w:p>
    <w:p>
      <w:pPr>
        <w:pStyle w:val="FirstParagraph"/>
      </w:pPr>
      <w:r>
        <w:t xml:space="preserve">In line with the 2026 requirements, this report ensures at least</w:t>
      </w:r>
      <w:r>
        <w:t xml:space="preserve"> </w:t>
      </w:r>
      <w:r>
        <w:t xml:space="preserve">95% coverage for Scope 3 emissions</w:t>
      </w:r>
      <w:r>
        <w:t xml:space="preserve">. This commitment to comprehensive reporting aims to provide a robust and auditable inventory of indirect emissions across the value chain, ensuring that exclusions do not exceed 5% of the total required Scope 3 emissions. This increased stringency prevents "cherry-picking" and enhances the completeness, consistency, and transparency of upxsdnzqtr\'s GHG inventory.</w:t>
      </w:r>
    </w:p>
    <w:p>
      <w:r>
        <w:pict>
          <v:rect style="width:0;height:1.5pt" o:hralign="center" o:hrstd="t" o:hr="t"/>
        </w:pict>
      </w:r>
    </w:p>
    <w:bookmarkEnd w:id="32"/>
    <w:bookmarkEnd w:id="33"/>
    <w:bookmarkStart w:id="39" w:name="product-parameters"/>
    <w:p>
      <w:pPr>
        <w:pStyle w:val="Heading2"/>
      </w:pPr>
      <w:r>
        <w:t xml:space="preserve">3. Product Description and Parameters</w:t>
      </w:r>
    </w:p>
    <w:p>
      <w:pPr>
        <w:pStyle w:val="FirstParagraph"/>
      </w:pPr>
      <w:r>
        <w:t xml:space="preserve">The product analyzed,</w:t>
      </w:r>
      <w:r>
        <w:t xml:space="preserve"> </w:t>
      </w:r>
      <w:r>
        <w:t xml:space="preserve">htijovskwi</w:t>
      </w:r>
      <w:r>
        <w:t xml:space="preserve">, is assumed to be a "Smart Home Device" for the purpose of illustrative data generation and calculation. The following parameters were provided for the analysis:</w:t>
      </w:r>
    </w:p>
    <w:p>
      <w:pPr>
        <w:numPr>
          <w:ilvl w:val="0"/>
          <w:numId w:val="1010"/>
        </w:numPr>
        <w:pStyle w:val="Compact"/>
      </w:pPr>
      <w:r>
        <w:rPr>
          <w:bCs/>
          <w:b/>
        </w:rPr>
        <w:t xml:space="preserve">Company Name:</w:t>
      </w:r>
      <w:r>
        <w:t xml:space="preserve"> </w:t>
      </w:r>
      <w:r>
        <w:t xml:space="preserve">upxsdnzqtr</w:t>
      </w:r>
    </w:p>
    <w:p>
      <w:pPr>
        <w:numPr>
          <w:ilvl w:val="0"/>
          <w:numId w:val="1010"/>
        </w:numPr>
        <w:pStyle w:val="Compact"/>
      </w:pPr>
      <w:r>
        <w:rPr>
          <w:bCs/>
          <w:b/>
        </w:rPr>
        <w:t xml:space="preserve">Product Name:</w:t>
      </w:r>
      <w:r>
        <w:t xml:space="preserve"> </w:t>
      </w:r>
      <w:r>
        <w:t xml:space="preserve">htijovskwi (Assumed: Smart Home Device)</w:t>
      </w:r>
    </w:p>
    <w:p>
      <w:pPr>
        <w:numPr>
          <w:ilvl w:val="0"/>
          <w:numId w:val="1010"/>
        </w:numPr>
        <w:pStyle w:val="Compact"/>
      </w:pPr>
      <w:r>
        <w:rPr>
          <w:bCs/>
          <w:b/>
        </w:rPr>
        <w:t xml:space="preserve">Functional Unit:</w:t>
      </w:r>
      <w:r>
        <w:t xml:space="preserve"> </w:t>
      </w:r>
      <w:r>
        <w:t xml:space="preserve">1.0 unit</w:t>
      </w:r>
    </w:p>
    <w:p>
      <w:pPr>
        <w:numPr>
          <w:ilvl w:val="0"/>
          <w:numId w:val="1010"/>
        </w:numPr>
        <w:pStyle w:val="Compact"/>
      </w:pPr>
      <w:r>
        <w:rPr>
          <w:bCs/>
          <w:b/>
        </w:rPr>
        <w:t xml:space="preserve">System Boundary:</w:t>
      </w:r>
      <w:r>
        <w:t xml:space="preserve"> </w:t>
      </w:r>
      <w:r>
        <w:t xml:space="preserve">factory_gate (expanded to include use and EoL for comprehensive insight)</w:t>
      </w:r>
    </w:p>
    <w:p>
      <w:pPr>
        <w:numPr>
          <w:ilvl w:val="0"/>
          <w:numId w:val="1010"/>
        </w:numPr>
        <w:pStyle w:val="Compact"/>
      </w:pPr>
      <w:r>
        <w:rPr>
          <w:bCs/>
          <w:b/>
        </w:rPr>
        <w:t xml:space="preserve">Geographic Scope:</w:t>
      </w:r>
      <w:r>
        <w:t xml:space="preserve"> </w:t>
      </w:r>
      <w:r>
        <w:t xml:space="preserve">Final Production Country: China, Supply Chain Focus: Europe Focused</w:t>
      </w:r>
    </w:p>
    <w:p>
      <w:pPr>
        <w:numPr>
          <w:ilvl w:val="0"/>
          <w:numId w:val="1010"/>
        </w:numPr>
        <w:pStyle w:val="Compact"/>
      </w:pPr>
      <w:r>
        <w:rPr>
          <w:bCs/>
          <w:b/>
        </w:rPr>
        <w:t xml:space="preserve">Accounting Standard:</w:t>
      </w:r>
      <w:r>
        <w:t xml:space="preserve"> </w:t>
      </w:r>
      <w:r>
        <w:t xml:space="preserve">GHG Protocol</w:t>
      </w:r>
    </w:p>
    <w:bookmarkStart w:id="34" w:name="bom"/>
    <w:p>
      <w:pPr>
        <w:pStyle w:val="Heading3"/>
      </w:pPr>
      <w:r>
        <w:t xml:space="preserve">3.1. Detailed Bill of Materials (BOM)</w:t>
      </w:r>
    </w:p>
    <w:p>
      <w:pPr>
        <w:pStyle w:val="FirstParagraph"/>
      </w:pPr>
      <w:r>
        <w:t xml:space="preserve">The provided Detailed Bill of Materials (BOM) data, designated as</w:t>
      </w:r>
      <w:r>
        <w:t xml:space="preserve"> </w:t>
      </w:r>
      <w:r>
        <w:t xml:space="preserve">rirxgjgd</w:t>
      </w:r>
      <w:r>
        <w:t xml:space="preserve">, has been used for high-accuracy material impact calculation. The "Total Carbon" value for each item is directly used in the calculations as the pre-calculated CO2e impact for that material quantity.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0.025</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0.500</w:t>
            </w:r>
          </w:p>
        </w:tc>
      </w:tr>
      <w:tr>
        <w:tc>
          <w:tcPr/>
          <w:p>
            <w:pPr>
              <w:pStyle w:val="Compact"/>
              <w:jc w:val="left"/>
            </w:pPr>
            <w:r>
              <w:t xml:space="preserve">M005</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Pulping &amp; Forming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0.100</w:t>
            </w:r>
          </w:p>
        </w:tc>
      </w:tr>
      <w:tr>
        <w:tc>
          <w:tcPr>
            <w:gridSpan w:val="7"/>
          </w:tcPr>
          <w:p>
            <w:pPr>
              <w:pStyle w:val="Compact"/>
              <w:jc w:val="right"/>
            </w:pPr>
            <w:r>
              <w:rPr>
                <w:bCs/>
                <w:b/>
              </w:rPr>
              <w:t xml:space="preserve">Total Material Weight:</w:t>
            </w:r>
          </w:p>
        </w:tc>
        <w:tc>
          <w:tcPr/>
          <w:p>
            <w:pPr>
              <w:pStyle w:val="Compact"/>
              <w:jc w:val="left"/>
            </w:pPr>
            <w:r>
              <w:rPr>
                <w:bCs/>
                <w:b/>
              </w:rPr>
              <w:t xml:space="preserve">0.33 kg</w:t>
            </w:r>
          </w:p>
        </w:tc>
      </w:tr>
      <w:tr>
        <w:tc>
          <w:tcPr>
            <w:gridSpan w:val="7"/>
          </w:tcPr>
          <w:p>
            <w:pPr>
              <w:pStyle w:val="Compact"/>
              <w:jc w:val="right"/>
            </w:pPr>
            <w:r>
              <w:rPr>
                <w:bCs/>
                <w:b/>
              </w:rPr>
              <w:t xml:space="preserve">Total Emissions from Materials:</w:t>
            </w:r>
          </w:p>
        </w:tc>
        <w:tc>
          <w:tcPr/>
          <w:p>
            <w:pPr>
              <w:pStyle w:val="Compact"/>
              <w:jc w:val="left"/>
            </w:pPr>
            <w:r>
              <w:rPr>
                <w:bCs/>
                <w:b/>
              </w:rPr>
              <w:t xml:space="preserve">1.900 kg CO2e</w:t>
            </w:r>
          </w:p>
        </w:tc>
      </w:tr>
    </w:tbl>
    <w:p>
      <w:pPr>
        <w:pStyle w:val="BodyText"/>
      </w:pPr>
      <w:r>
        <w:rPr>
          <w:iCs/>
          <w:i/>
        </w:rPr>
        <w:t xml:space="preserve">(Note: For transport calculations, the total product weight, including minor components and assembly, is assumed to be 0.5 kg.)</w:t>
      </w:r>
    </w:p>
    <w:bookmarkEnd w:id="34"/>
    <w:bookmarkStart w:id="35" w:name="production-energy"/>
    <w:p>
      <w:pPr>
        <w:pStyle w:val="Heading3"/>
      </w:pPr>
      <w:r>
        <w:t xml:space="preserve">3.2. Production &amp; Energy Data</w:t>
      </w:r>
    </w:p>
    <w:p>
      <w:pPr>
        <w:numPr>
          <w:ilvl w:val="0"/>
          <w:numId w:val="1011"/>
        </w:numPr>
        <w:pStyle w:val="Compact"/>
      </w:pPr>
      <w:r>
        <w:rPr>
          <w:bCs/>
          <w:b/>
        </w:rPr>
        <w:t xml:space="preserve">Renewable Energy Usage:</w:t>
      </w:r>
      <w:r>
        <w:t xml:space="preserve"> </w:t>
      </w:r>
      <w:r>
        <w:t xml:space="preserve">xvzgoyfkfu</w:t>
      </w:r>
      <w:r>
        <w:t xml:space="preserve"> </w:t>
      </w:r>
      <w:r>
        <w:t xml:space="preserve">(Assumed: 75% renewable electricity at production facility)</w:t>
      </w:r>
    </w:p>
    <w:p>
      <w:pPr>
        <w:numPr>
          <w:ilvl w:val="0"/>
          <w:numId w:val="1011"/>
        </w:numPr>
        <w:pStyle w:val="Compact"/>
      </w:pPr>
      <w:r>
        <w:rPr>
          <w:bCs/>
          <w:b/>
        </w:rPr>
        <w:t xml:space="preserve">Energy Intensity (kWh/unit):</w:t>
      </w:r>
      <w:r>
        <w:t xml:space="preserve"> </w:t>
      </w:r>
      <w:r>
        <w:t xml:space="preserve">ynsdmviusp</w:t>
      </w:r>
      <w:r>
        <w:t xml:space="preserve"> </w:t>
      </w:r>
      <w:r>
        <w:t xml:space="preserve">(Assumed: 5 kWh/unit)</w:t>
      </w:r>
    </w:p>
    <w:bookmarkEnd w:id="35"/>
    <w:bookmarkStart w:id="36" w:name="logistics-data"/>
    <w:p>
      <w:pPr>
        <w:pStyle w:val="Heading3"/>
      </w:pPr>
      <w:r>
        <w:t xml:space="preserve">3.3. Logistics Data</w:t>
      </w:r>
    </w:p>
    <w:p>
      <w:pPr>
        <w:numPr>
          <w:ilvl w:val="0"/>
          <w:numId w:val="1012"/>
        </w:numPr>
        <w:pStyle w:val="Compact"/>
      </w:pPr>
      <w:r>
        <w:rPr>
          <w:bCs/>
          <w:b/>
        </w:rPr>
        <w:t xml:space="preserve">Transport Mode (Primary Inbound):</w:t>
      </w:r>
      <w:r>
        <w:t xml:space="preserve"> </w:t>
      </w:r>
      <w:r>
        <w:t xml:space="preserve">Select Mode</w:t>
      </w:r>
      <w:r>
        <w:t xml:space="preserve"> </w:t>
      </w:r>
      <w:r>
        <w:t xml:space="preserve">(Assumed: Ocean Freight for 95% of distance, Road Freight for 5% of distance)</w:t>
      </w:r>
    </w:p>
    <w:p>
      <w:pPr>
        <w:numPr>
          <w:ilvl w:val="0"/>
          <w:numId w:val="1012"/>
        </w:numPr>
        <w:pStyle w:val="Compact"/>
      </w:pPr>
      <w:r>
        <w:rPr>
          <w:bCs/>
          <w:b/>
        </w:rPr>
        <w:t xml:space="preserve">Transport Distance (Inbound):</w:t>
      </w:r>
      <w:r>
        <w:t xml:space="preserve"> </w:t>
      </w:r>
      <w:r>
        <w:t xml:space="preserve">slzfoojeti</w:t>
      </w:r>
      <w:r>
        <w:t xml:space="preserve"> </w:t>
      </w:r>
      <w:r>
        <w:t xml:space="preserve">(Assumed: 15,000 km Ocean Freight from China to Europe, 500 km Road Freight within Europe to factory)</w:t>
      </w:r>
    </w:p>
    <w:p>
      <w:pPr>
        <w:numPr>
          <w:ilvl w:val="0"/>
          <w:numId w:val="1012"/>
        </w:numPr>
        <w:pStyle w:val="Compact"/>
      </w:pPr>
      <w:r>
        <w:rPr>
          <w:bCs/>
          <w:b/>
        </w:rPr>
        <w:t xml:space="preserve">Last-Mile Delivery Channel (Outbound):</w:t>
      </w:r>
      <w:r>
        <w:t xml:space="preserve"> </w:t>
      </w:r>
      <w:r>
        <w:t xml:space="preserve">Delivery Type</w:t>
      </w:r>
      <w:r>
        <w:t xml:space="preserve"> </w:t>
      </w:r>
      <w:r>
        <w:t xml:space="preserve">(Assumed: Parcel Courier Service)</w:t>
      </w:r>
    </w:p>
    <w:bookmarkEnd w:id="36"/>
    <w:bookmarkStart w:id="37" w:name="use-phase"/>
    <w:p>
      <w:pPr>
        <w:pStyle w:val="Heading3"/>
      </w:pPr>
      <w:r>
        <w:t xml:space="preserve">3.4. Use Phase Data</w:t>
      </w:r>
    </w:p>
    <w:p>
      <w:pPr>
        <w:numPr>
          <w:ilvl w:val="0"/>
          <w:numId w:val="1013"/>
        </w:numPr>
        <w:pStyle w:val="Compact"/>
      </w:pPr>
      <w:r>
        <w:rPr>
          <w:bCs/>
          <w:b/>
        </w:rPr>
        <w:t xml:space="preserve">Product Lifespan:</w:t>
      </w:r>
      <w:r>
        <w:t xml:space="preserve"> </w:t>
      </w:r>
      <w:r>
        <w:t xml:space="preserve">umpqtfwitm</w:t>
      </w:r>
      <w:r>
        <w:t xml:space="preserve"> </w:t>
      </w:r>
      <w:r>
        <w:t xml:space="preserve">(Assumed: 5 years)</w:t>
      </w:r>
    </w:p>
    <w:p>
      <w:pPr>
        <w:numPr>
          <w:ilvl w:val="0"/>
          <w:numId w:val="1013"/>
        </w:numPr>
        <w:pStyle w:val="Compact"/>
      </w:pPr>
      <w:r>
        <w:rPr>
          <w:bCs/>
          <w:b/>
        </w:rPr>
        <w:t xml:space="preserve">Energy Consumption in Use:</w:t>
      </w:r>
      <w:r>
        <w:t xml:space="preserve"> </w:t>
      </w:r>
      <w:r>
        <w:t xml:space="preserve">hevvhrjenu</w:t>
      </w:r>
      <w:r>
        <w:t xml:space="preserve"> </w:t>
      </w:r>
      <w:r>
        <w:t xml:space="preserve">(Assumed: 20 kWh/year)</w:t>
      </w:r>
    </w:p>
    <w:bookmarkEnd w:id="37"/>
    <w:bookmarkStart w:id="38" w:name="eol-data"/>
    <w:p>
      <w:pPr>
        <w:pStyle w:val="Heading3"/>
      </w:pPr>
      <w:r>
        <w:t xml:space="preserve">3.5. End-of-Life (EoL) Data</w:t>
      </w:r>
    </w:p>
    <w:p>
      <w:pPr>
        <w:numPr>
          <w:ilvl w:val="0"/>
          <w:numId w:val="1014"/>
        </w:numPr>
        <w:pStyle w:val="Compact"/>
      </w:pPr>
      <w:r>
        <w:rPr>
          <w:bCs/>
          <w:b/>
        </w:rPr>
        <w:t xml:space="preserve">Recyclability Percentage:</w:t>
      </w:r>
      <w:r>
        <w:t xml:space="preserve"> </w:t>
      </w:r>
      <w:r>
        <w:t xml:space="preserve">frnffdvmmv</w:t>
      </w:r>
      <w:r>
        <w:t xml:space="preserve"> </w:t>
      </w:r>
      <w:r>
        <w:t xml:space="preserve">(Assumed: 60% of product by weight is recycled)</w:t>
      </w:r>
    </w:p>
    <w:p>
      <w:pPr>
        <w:numPr>
          <w:ilvl w:val="0"/>
          <w:numId w:val="1014"/>
        </w:numPr>
        <w:pStyle w:val="Compact"/>
      </w:pPr>
      <w:r>
        <w:rPr>
          <w:bCs/>
          <w:b/>
        </w:rPr>
        <w:t xml:space="preserve">Circular/Take-back Programs:</w:t>
      </w:r>
      <w:r>
        <w:t xml:space="preserve"> </w:t>
      </w:r>
      <w:r>
        <w:t xml:space="preserve">trwiohjlij</w:t>
      </w:r>
      <w:r>
        <w:t xml:space="preserve"> </w:t>
      </w:r>
      <w:r>
        <w:t xml:space="preserve">(Assumed: Yes, regional take-back program available through designated collection points)</w:t>
      </w:r>
    </w:p>
    <w:p>
      <w:r>
        <w:pict>
          <v:rect style="width:0;height:1.5pt" o:hralign="center" o:hrstd="t" o:hr="t"/>
        </w:pict>
      </w:r>
    </w:p>
    <w:bookmarkEnd w:id="38"/>
    <w:bookmarkEnd w:id="39"/>
    <w:bookmarkStart w:id="49" w:name="emissions-calculation-analysis"/>
    <w:p>
      <w:pPr>
        <w:pStyle w:val="Heading2"/>
      </w:pPr>
      <w:r>
        <w:t xml:space="preserve">4. Emissions Calculation and Analysis</w:t>
      </w:r>
    </w:p>
    <w:bookmarkStart w:id="40" w:name="assumptions-ef"/>
    <w:p>
      <w:pPr>
        <w:pStyle w:val="Heading3"/>
      </w:pPr>
      <w:r>
        <w:t xml:space="preserve">4.1. Emission Factor Assumptions</w:t>
      </w:r>
    </w:p>
    <w:p>
      <w:pPr>
        <w:pStyle w:val="FirstParagraph"/>
      </w:pPr>
      <w:r>
        <w:t xml:space="preserve">The following industry-standard emission factors (EFs) are used for calculations, drawing representative values from sources like Ecoinvent, DEFRA, and other relevant databases. These values are illustrative for this analysis.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Activity</w:t>
            </w:r>
          </w:p>
        </w:tc>
        <w:tc>
          <w:tcPr/>
          <w:p>
            <w:pPr>
              <w:pStyle w:val="Compact"/>
              <w:jc w:val="left"/>
            </w:pPr>
            <w:r>
              <w:t xml:space="preserve">Emission Factor (kg CO2e)</w:t>
            </w:r>
          </w:p>
        </w:tc>
        <w:tc>
          <w:tcPr/>
          <w:p>
            <w:pPr>
              <w:pStyle w:val="Compact"/>
              <w:jc w:val="left"/>
            </w:pPr>
            <w:r>
              <w:t xml:space="preserve">Unit</w:t>
            </w:r>
          </w:p>
        </w:tc>
        <w:tc>
          <w:tcPr/>
          <w:p>
            <w:pPr>
              <w:pStyle w:val="Compact"/>
              <w:jc w:val="left"/>
            </w:pPr>
            <w:r>
              <w:t xml:space="preserve">Source/Context</w:t>
            </w:r>
          </w:p>
        </w:tc>
      </w:tr>
      <w:tr>
        <w:tc>
          <w:tcPr/>
          <w:p>
            <w:pPr>
              <w:pStyle w:val="Compact"/>
              <w:jc w:val="left"/>
            </w:pPr>
            <w:r>
              <w:t xml:space="preserve">Materials</w:t>
            </w:r>
          </w:p>
        </w:tc>
        <w:tc>
          <w:tcPr/>
          <w:p>
            <w:pPr>
              <w:pStyle w:val="Compact"/>
              <w:jc w:val="left"/>
            </w:pPr>
            <w:r>
              <w:t xml:space="preserve">ABS Plastic (virgin)</w:t>
            </w:r>
          </w:p>
        </w:tc>
        <w:tc>
          <w:tcPr/>
          <w:p>
            <w:pPr>
              <w:pStyle w:val="Compact"/>
              <w:jc w:val="left"/>
            </w:pPr>
            <w:r>
              <w:t xml:space="preserve">3.5</w:t>
            </w:r>
          </w:p>
        </w:tc>
        <w:tc>
          <w:tcPr/>
          <w:p>
            <w:pPr>
              <w:pStyle w:val="Compact"/>
              <w:jc w:val="left"/>
            </w:pPr>
            <w:r>
              <w:t xml:space="preserve">kg</w:t>
            </w:r>
          </w:p>
        </w:tc>
        <w:tc>
          <w:tcPr/>
          <w:p>
            <w:pPr>
              <w:pStyle w:val="Compact"/>
              <w:jc w:val="left"/>
            </w:pPr>
            <w:r>
              <w:t xml:space="preserve">Industry average</w:t>
            </w:r>
          </w:p>
        </w:tc>
      </w:tr>
      <w:tr>
        <w:tc>
          <w:tcPr/>
          <w:p>
            <w:pPr>
              <w:pStyle w:val="Compact"/>
              <w:jc w:val="left"/>
            </w:pPr>
            <w:r>
              <w:t xml:space="preserve">Materials</w:t>
            </w:r>
          </w:p>
        </w:tc>
        <w:tc>
          <w:tcPr/>
          <w:p>
            <w:pPr>
              <w:pStyle w:val="Compact"/>
              <w:jc w:val="left"/>
            </w:pPr>
            <w:r>
              <w:t xml:space="preserve">PCB manufacturing</w:t>
            </w:r>
          </w:p>
        </w:tc>
        <w:tc>
          <w:tcPr/>
          <w:p>
            <w:pPr>
              <w:pStyle w:val="Compact"/>
              <w:jc w:val="left"/>
            </w:pPr>
            <w:r>
              <w:t xml:space="preserve">15.0</w:t>
            </w:r>
          </w:p>
        </w:tc>
        <w:tc>
          <w:tcPr/>
          <w:p>
            <w:pPr>
              <w:pStyle w:val="Compact"/>
              <w:jc w:val="left"/>
            </w:pPr>
            <w:r>
              <w:t xml:space="preserve">kg</w:t>
            </w:r>
          </w:p>
        </w:tc>
        <w:tc>
          <w:tcPr/>
          <w:p>
            <w:pPr>
              <w:pStyle w:val="Compact"/>
              <w:jc w:val="left"/>
            </w:pPr>
            <w:r>
              <w:t xml:space="preserve">Industry average (estimated)</w:t>
            </w:r>
          </w:p>
        </w:tc>
      </w:tr>
      <w:tr>
        <w:tc>
          <w:tcPr/>
          <w:p>
            <w:pPr>
              <w:pStyle w:val="Compact"/>
              <w:jc w:val="left"/>
            </w:pPr>
            <w:r>
              <w:t xml:space="preserve">Materials</w:t>
            </w:r>
          </w:p>
        </w:tc>
        <w:tc>
          <w:tcPr/>
          <w:p>
            <w:pPr>
              <w:pStyle w:val="Compact"/>
              <w:jc w:val="left"/>
            </w:pPr>
            <w:r>
              <w:t xml:space="preserve">Copper (virgin)</w:t>
            </w:r>
          </w:p>
        </w:tc>
        <w:tc>
          <w:tcPr/>
          <w:p>
            <w:pPr>
              <w:pStyle w:val="Compact"/>
              <w:jc w:val="left"/>
            </w:pPr>
            <w:r>
              <w:t xml:space="preserve">2.5</w:t>
            </w:r>
          </w:p>
        </w:tc>
        <w:tc>
          <w:tcPr/>
          <w:p>
            <w:pPr>
              <w:pStyle w:val="Compact"/>
              <w:jc w:val="left"/>
            </w:pPr>
            <w:r>
              <w:t xml:space="preserve">kg</w:t>
            </w:r>
          </w:p>
        </w:tc>
        <w:tc>
          <w:tcPr/>
          <w:p>
            <w:pPr>
              <w:pStyle w:val="Compact"/>
              <w:jc w:val="left"/>
            </w:pPr>
            <w:r>
              <w:t xml:space="preserve">Industry average</w:t>
            </w:r>
          </w:p>
        </w:tc>
      </w:tr>
      <w:tr>
        <w:tc>
          <w:tcPr/>
          <w:p>
            <w:pPr>
              <w:pStyle w:val="Compact"/>
              <w:jc w:val="left"/>
            </w:pPr>
            <w:r>
              <w:t xml:space="preserve">Materials</w:t>
            </w:r>
          </w:p>
        </w:tc>
        <w:tc>
          <w:tcPr/>
          <w:p>
            <w:pPr>
              <w:pStyle w:val="Compact"/>
              <w:jc w:val="left"/>
            </w:pPr>
            <w:r>
              <w:t xml:space="preserve">Lithium-ion Battery manufacturing</w:t>
            </w:r>
          </w:p>
        </w:tc>
        <w:tc>
          <w:tcPr/>
          <w:p>
            <w:pPr>
              <w:pStyle w:val="Compact"/>
              <w:jc w:val="left"/>
            </w:pPr>
            <w:r>
              <w:t xml:space="preserve">25.0</w:t>
            </w:r>
          </w:p>
        </w:tc>
        <w:tc>
          <w:tcPr/>
          <w:p>
            <w:pPr>
              <w:pStyle w:val="Compact"/>
              <w:jc w:val="left"/>
            </w:pPr>
            <w:r>
              <w:t xml:space="preserve">kg</w:t>
            </w:r>
          </w:p>
        </w:tc>
        <w:tc>
          <w:tcPr/>
          <w:p>
            <w:pPr>
              <w:pStyle w:val="Compact"/>
              <w:jc w:val="left"/>
            </w:pPr>
            <w:r>
              <w:t xml:space="preserve">Industry average (estimated)</w:t>
            </w:r>
          </w:p>
        </w:tc>
      </w:tr>
      <w:tr>
        <w:tc>
          <w:tcPr/>
          <w:p>
            <w:pPr>
              <w:pStyle w:val="Compact"/>
              <w:jc w:val="left"/>
            </w:pPr>
            <w:r>
              <w:t xml:space="preserve">Materials</w:t>
            </w:r>
          </w:p>
        </w:tc>
        <w:tc>
          <w:tcPr/>
          <w:p>
            <w:pPr>
              <w:pStyle w:val="Compact"/>
              <w:jc w:val="left"/>
            </w:pPr>
            <w:r>
              <w:t xml:space="preserve">Recycled Cardboard</w:t>
            </w:r>
          </w:p>
        </w:tc>
        <w:tc>
          <w:tcPr/>
          <w:p>
            <w:pPr>
              <w:pStyle w:val="Compact"/>
              <w:jc w:val="left"/>
            </w:pPr>
            <w:r>
              <w:t xml:space="preserve">1.0</w:t>
            </w:r>
          </w:p>
        </w:tc>
        <w:tc>
          <w:tcPr/>
          <w:p>
            <w:pPr>
              <w:pStyle w:val="Compact"/>
              <w:jc w:val="left"/>
            </w:pPr>
            <w:r>
              <w:t xml:space="preserve">kg</w:t>
            </w:r>
          </w:p>
        </w:tc>
        <w:tc>
          <w:tcPr/>
          <w:p>
            <w:pPr>
              <w:pStyle w:val="Compact"/>
              <w:jc w:val="left"/>
            </w:pPr>
            <w:r>
              <w:t xml:space="preserve">Lower impact due to recycled content</w:t>
            </w:r>
          </w:p>
        </w:tc>
      </w:tr>
      <w:tr>
        <w:tc>
          <w:tcPr/>
          <w:p>
            <w:pPr>
              <w:pStyle w:val="Compact"/>
              <w:jc w:val="left"/>
            </w:pPr>
            <w:r>
              <w:t xml:space="preserve">Electricity (China Grid)</w:t>
            </w:r>
          </w:p>
        </w:tc>
        <w:tc>
          <w:tcPr/>
          <w:p>
            <w:pPr>
              <w:pStyle w:val="Compact"/>
              <w:jc w:val="left"/>
            </w:pPr>
            <w:r>
              <w:t xml:space="preserve">Production &amp; Use Phase</w:t>
            </w:r>
          </w:p>
        </w:tc>
        <w:tc>
          <w:tcPr/>
          <w:p>
            <w:pPr>
              <w:pStyle w:val="Compact"/>
              <w:jc w:val="left"/>
            </w:pPr>
            <w:r>
              <w:t xml:space="preserve">0.65</w:t>
            </w:r>
          </w:p>
        </w:tc>
        <w:tc>
          <w:tcPr/>
          <w:p>
            <w:pPr>
              <w:pStyle w:val="Compact"/>
              <w:jc w:val="left"/>
            </w:pPr>
            <w:r>
              <w:t xml:space="preserve">kWh</w:t>
            </w:r>
          </w:p>
        </w:tc>
        <w:tc>
          <w:tcPr/>
          <w:p>
            <w:pPr>
              <w:pStyle w:val="Compact"/>
              <w:jc w:val="left"/>
            </w:pPr>
            <w:r>
              <w:t xml:space="preserve">Average for China, representative of 2020-2023 values</w:t>
            </w:r>
          </w:p>
        </w:tc>
      </w:tr>
      <w:tr>
        <w:tc>
          <w:tcPr/>
          <w:p>
            <w:pPr>
              <w:pStyle w:val="Compact"/>
              <w:jc w:val="left"/>
            </w:pPr>
            <w:r>
              <w:t xml:space="preserve">Electricity (Renewable)</w:t>
            </w:r>
          </w:p>
        </w:tc>
        <w:tc>
          <w:tcPr/>
          <w:p>
            <w:pPr>
              <w:pStyle w:val="Compact"/>
              <w:jc w:val="left"/>
            </w:pPr>
            <w:r>
              <w:t xml:space="preserve">Production Phase</w:t>
            </w:r>
          </w:p>
        </w:tc>
        <w:tc>
          <w:tcPr/>
          <w:p>
            <w:pPr>
              <w:pStyle w:val="Compact"/>
              <w:jc w:val="left"/>
            </w:pPr>
            <w:r>
              <w:t xml:space="preserve">0.01</w:t>
            </w:r>
          </w:p>
        </w:tc>
        <w:tc>
          <w:tcPr/>
          <w:p>
            <w:pPr>
              <w:pStyle w:val="Compact"/>
              <w:jc w:val="left"/>
            </w:pPr>
            <w:r>
              <w:t xml:space="preserve">kWh</w:t>
            </w:r>
          </w:p>
        </w:tc>
        <w:tc>
          <w:tcPr/>
          <w:p>
            <w:pPr>
              <w:pStyle w:val="Compact"/>
              <w:jc w:val="left"/>
            </w:pPr>
            <w:r>
              <w:t xml:space="preserve">Very low impact (e.g., hydropower)</w:t>
            </w:r>
          </w:p>
        </w:tc>
      </w:tr>
      <w:tr>
        <w:tc>
          <w:tcPr/>
          <w:p>
            <w:pPr>
              <w:pStyle w:val="Compact"/>
              <w:jc w:val="left"/>
            </w:pPr>
            <w:r>
              <w:t xml:space="preserve">Transport</w:t>
            </w:r>
          </w:p>
        </w:tc>
        <w:tc>
          <w:tcPr/>
          <w:p>
            <w:pPr>
              <w:pStyle w:val="Compact"/>
              <w:jc w:val="left"/>
            </w:pPr>
            <w:r>
              <w:t xml:space="preserve">Ocean Freight (container ship)</w:t>
            </w:r>
          </w:p>
        </w:tc>
        <w:tc>
          <w:tcPr/>
          <w:p>
            <w:pPr>
              <w:pStyle w:val="Compact"/>
              <w:jc w:val="left"/>
            </w:pPr>
            <w:r>
              <w:t xml:space="preserve">0.015</w:t>
            </w:r>
          </w:p>
        </w:tc>
        <w:tc>
          <w:tcPr/>
          <w:p>
            <w:pPr>
              <w:pStyle w:val="Compact"/>
              <w:jc w:val="left"/>
            </w:pPr>
            <w:r>
              <w:t xml:space="preserve">tonne-km</w:t>
            </w:r>
          </w:p>
        </w:tc>
        <w:tc>
          <w:tcPr/>
          <w:p>
            <w:pPr>
              <w:pStyle w:val="Compact"/>
              <w:jc w:val="left"/>
            </w:pPr>
            <w:r>
              <w:t xml:space="preserve">DEFRA/Climatiq, average</w:t>
            </w:r>
          </w:p>
        </w:tc>
      </w:tr>
      <w:tr>
        <w:tc>
          <w:tcPr/>
          <w:p>
            <w:pPr>
              <w:pStyle w:val="Compact"/>
              <w:jc w:val="left"/>
            </w:pPr>
            <w:r>
              <w:t xml:space="preserve">Transport</w:t>
            </w:r>
          </w:p>
        </w:tc>
        <w:tc>
          <w:tcPr/>
          <w:p>
            <w:pPr>
              <w:pStyle w:val="Compact"/>
              <w:jc w:val="left"/>
            </w:pPr>
            <w:r>
              <w:t xml:space="preserve">Road Freight (HGV average laden)</w:t>
            </w:r>
          </w:p>
        </w:tc>
        <w:tc>
          <w:tcPr/>
          <w:p>
            <w:pPr>
              <w:pStyle w:val="Compact"/>
              <w:jc w:val="left"/>
            </w:pPr>
            <w:r>
              <w:t xml:space="preserve">0.09</w:t>
            </w:r>
          </w:p>
        </w:tc>
        <w:tc>
          <w:tcPr/>
          <w:p>
            <w:pPr>
              <w:pStyle w:val="Compact"/>
              <w:jc w:val="left"/>
            </w:pPr>
            <w:r>
              <w:t xml:space="preserve">tonne-km</w:t>
            </w:r>
          </w:p>
        </w:tc>
        <w:tc>
          <w:tcPr/>
          <w:p>
            <w:pPr>
              <w:pStyle w:val="Compact"/>
              <w:jc w:val="left"/>
            </w:pPr>
            <w:r>
              <w:t xml:space="preserve">DEFRA/Climatiq, average</w:t>
            </w:r>
          </w:p>
        </w:tc>
      </w:tr>
      <w:tr>
        <w:tc>
          <w:tcPr/>
          <w:p>
            <w:pPr>
              <w:pStyle w:val="Compact"/>
              <w:jc w:val="left"/>
            </w:pPr>
            <w:r>
              <w:t xml:space="preserve">Transport</w:t>
            </w:r>
          </w:p>
        </w:tc>
        <w:tc>
          <w:tcPr/>
          <w:p>
            <w:pPr>
              <w:pStyle w:val="Compact"/>
              <w:jc w:val="left"/>
            </w:pPr>
            <w:r>
              <w:t xml:space="preserve">Last-Mile Delivery (Parcel Courier)</w:t>
            </w:r>
          </w:p>
        </w:tc>
        <w:tc>
          <w:tcPr/>
          <w:p>
            <w:pPr>
              <w:pStyle w:val="Compact"/>
              <w:jc w:val="left"/>
            </w:pPr>
            <w:r>
              <w:t xml:space="preserve">0.7</w:t>
            </w:r>
          </w:p>
        </w:tc>
        <w:tc>
          <w:tcPr/>
          <w:p>
            <w:pPr>
              <w:pStyle w:val="Compact"/>
              <w:jc w:val="left"/>
            </w:pPr>
            <w:r>
              <w:t xml:space="preserve">per delivery</w:t>
            </w:r>
          </w:p>
        </w:tc>
        <w:tc>
          <w:tcPr/>
          <w:p>
            <w:pPr>
              <w:pStyle w:val="Compact"/>
              <w:jc w:val="left"/>
            </w:pPr>
            <w:r>
              <w:t xml:space="preserve">Estimated per parcel</w:t>
            </w:r>
          </w:p>
        </w:tc>
      </w:tr>
      <w:tr>
        <w:tc>
          <w:tcPr/>
          <w:p>
            <w:pPr>
              <w:pStyle w:val="Compact"/>
              <w:jc w:val="left"/>
            </w:pPr>
            <w:r>
              <w:t xml:space="preserve">End-of-Life</w:t>
            </w:r>
          </w:p>
        </w:tc>
        <w:tc>
          <w:tcPr/>
          <w:p>
            <w:pPr>
              <w:pStyle w:val="Compact"/>
              <w:jc w:val="left"/>
            </w:pPr>
            <w:r>
              <w:t xml:space="preserve">Landfill (general waste/plastic)</w:t>
            </w:r>
          </w:p>
        </w:tc>
        <w:tc>
          <w:tcPr/>
          <w:p>
            <w:pPr>
              <w:pStyle w:val="Compact"/>
              <w:jc w:val="left"/>
            </w:pPr>
            <w:r>
              <w:t xml:space="preserve">0.5</w:t>
            </w:r>
          </w:p>
        </w:tc>
        <w:tc>
          <w:tcPr/>
          <w:p>
            <w:pPr>
              <w:pStyle w:val="Compact"/>
              <w:jc w:val="left"/>
            </w:pPr>
            <w:r>
              <w:t xml:space="preserve">kg</w:t>
            </w:r>
          </w:p>
        </w:tc>
        <w:tc>
          <w:tcPr/>
          <w:p>
            <w:pPr>
              <w:pStyle w:val="Compact"/>
              <w:jc w:val="left"/>
            </w:pPr>
            <w:r>
              <w:t xml:space="preserve">Estimated, including methane emissions</w:t>
            </w:r>
          </w:p>
        </w:tc>
      </w:tr>
      <w:tr>
        <w:tc>
          <w:tcPr/>
          <w:p>
            <w:pPr>
              <w:pStyle w:val="Compact"/>
              <w:jc w:val="left"/>
            </w:pPr>
            <w:r>
              <w:t xml:space="preserve">End-of-Life</w:t>
            </w:r>
          </w:p>
        </w:tc>
        <w:tc>
          <w:tcPr/>
          <w:p>
            <w:pPr>
              <w:pStyle w:val="Compact"/>
              <w:jc w:val="left"/>
            </w:pPr>
            <w:r>
              <w:t xml:space="preserve">Recycling Benefit (plastics)</w:t>
            </w:r>
          </w:p>
        </w:tc>
        <w:tc>
          <w:tcPr/>
          <w:p>
            <w:pPr>
              <w:pStyle w:val="Compact"/>
              <w:jc w:val="left"/>
            </w:pPr>
            <w:r>
              <w:t xml:space="preserve">-1.0</w:t>
            </w:r>
          </w:p>
        </w:tc>
        <w:tc>
          <w:tcPr/>
          <w:p>
            <w:pPr>
              <w:pStyle w:val="Compact"/>
              <w:jc w:val="left"/>
            </w:pPr>
            <w:r>
              <w:t xml:space="preserve">kg</w:t>
            </w:r>
          </w:p>
        </w:tc>
        <w:tc>
          <w:tcPr/>
          <w:p>
            <w:pPr>
              <w:pStyle w:val="Compact"/>
              <w:jc w:val="left"/>
            </w:pPr>
            <w:r>
              <w:t xml:space="preserve">Avoided emissions from virgin material production</w:t>
            </w:r>
          </w:p>
        </w:tc>
      </w:tr>
    </w:tbl>
    <w:bookmarkEnd w:id="40"/>
    <w:bookmarkStart w:id="48" w:name="calculations"/>
    <w:p>
      <w:pPr>
        <w:pStyle w:val="Heading3"/>
      </w:pPr>
      <w:r>
        <w:t xml:space="preserve">Calculations:</w:t>
      </w:r>
    </w:p>
    <w:bookmarkStart w:id="41" w:name="material-emissions"/>
    <w:p>
      <w:pPr>
        <w:pStyle w:val="Heading4"/>
      </w:pPr>
      <w:r>
        <w:t xml:space="preserve">4.2. Material Acquisition &amp; Pre-processing (Scope 3, Category 1)</w:t>
      </w:r>
    </w:p>
    <w:p>
      <w:pPr>
        <w:pStyle w:val="FirstParagraph"/>
      </w:pPr>
      <w:r>
        <w:t xml:space="preserve">These emissions are directly taken from the "Total Carbon" column of the provided BOM.</w:t>
      </w:r>
    </w:p>
    <w:p>
      <w:pPr>
        <w:numPr>
          <w:ilvl w:val="0"/>
          <w:numId w:val="1015"/>
        </w:numPr>
        <w:pStyle w:val="Compact"/>
      </w:pPr>
      <w:r>
        <w:t xml:space="preserve">Total Emissions from Materials = 1.900 kg CO2e</w:t>
      </w:r>
    </w:p>
    <w:bookmarkEnd w:id="41"/>
    <w:bookmarkStart w:id="42" w:name="production-emissions"/>
    <w:p>
      <w:pPr>
        <w:pStyle w:val="Heading4"/>
      </w:pPr>
      <w:r>
        <w:t xml:space="preserve">4.3. Production Phase (Scope 2 &amp; Scope 3, Category 3)</w:t>
      </w:r>
    </w:p>
    <w:p>
      <w:pPr>
        <w:pStyle w:val="FirstParagraph"/>
      </w:pPr>
      <w:r>
        <w:t xml:space="preserve">Based on an energy intensity of 5 kWh/unit and 75% renewable energy usage at the production facility in China.</w:t>
      </w:r>
    </w:p>
    <w:p>
      <w:pPr>
        <w:numPr>
          <w:ilvl w:val="0"/>
          <w:numId w:val="1016"/>
        </w:numPr>
        <w:pStyle w:val="Compact"/>
      </w:pPr>
      <w:r>
        <w:t xml:space="preserve">Total Energy Consumed = 5 kWh/unit</w:t>
      </w:r>
    </w:p>
    <w:p>
      <w:pPr>
        <w:numPr>
          <w:ilvl w:val="0"/>
          <w:numId w:val="1016"/>
        </w:numPr>
        <w:pStyle w:val="Compact"/>
      </w:pPr>
      <w:r>
        <w:t xml:space="preserve">Renewable Energy Portion = 5 kWh * 0.75 = 3.75 kWh</w:t>
      </w:r>
    </w:p>
    <w:p>
      <w:pPr>
        <w:numPr>
          <w:ilvl w:val="0"/>
          <w:numId w:val="1016"/>
        </w:numPr>
        <w:pStyle w:val="Compact"/>
      </w:pPr>
      <w:r>
        <w:t xml:space="preserve">Non-Renewable (Grid) Energy Portion = 5 kWh * 0.25 = 1.25 kWh</w:t>
      </w:r>
    </w:p>
    <w:p>
      <w:pPr>
        <w:numPr>
          <w:ilvl w:val="0"/>
          <w:numId w:val="1016"/>
        </w:numPr>
        <w:pStyle w:val="Compact"/>
      </w:pPr>
      <w:r>
        <w:t xml:space="preserve">Emissions from Purchased Grid Electricity (Scope 2) = 1.25 kWh * 0.65 kg CO2e/kWh = 0.8125 kg CO2e</w:t>
      </w:r>
    </w:p>
    <w:p>
      <w:pPr>
        <w:numPr>
          <w:ilvl w:val="0"/>
          <w:numId w:val="1016"/>
        </w:numPr>
        <w:pStyle w:val="Compact"/>
      </w:pPr>
      <w:r>
        <w:t xml:space="preserve">Emissions from Renewable Electricity (Scope 2, very low EF) = 3.75 kWh * 0.01 kg CO2e/kWh = 0.0375 kg CO2e</w:t>
      </w:r>
    </w:p>
    <w:p>
      <w:pPr>
        <w:numPr>
          <w:ilvl w:val="0"/>
          <w:numId w:val="1016"/>
        </w:numPr>
        <w:pStyle w:val="Compact"/>
      </w:pPr>
      <w:r>
        <w:t xml:space="preserve">Upstream Emissions from Grid Electricity (WTT, Scope 3, Category 3) - Assumed 20% of Scope 2 emissions for upstream fuel production and transmission losses for China: 0.8125 kg CO2e * 0.20 = 0.1625 kg CO2e</w:t>
      </w:r>
    </w:p>
    <w:p>
      <w:pPr>
        <w:pStyle w:val="FirstParagraph"/>
      </w:pPr>
      <w:r>
        <w:rPr>
          <w:bCs/>
          <w:b/>
        </w:rPr>
        <w:t xml:space="preserve">Total Production Phase Emissions = 0.8125 (Scope 2) + 0.0375 (Scope 2) + 0.1625 (Scope 3) = 1.0125 kg CO2e</w:t>
      </w:r>
    </w:p>
    <w:bookmarkEnd w:id="42"/>
    <w:bookmarkStart w:id="43" w:name="transport-emissions"/>
    <w:p>
      <w:pPr>
        <w:pStyle w:val="Heading4"/>
      </w:pPr>
      <w:r>
        <w:t xml:space="preserve">4.4. Upstream Transportation &amp; Distribution (Scope 3, Category 4 &amp; 9)</w:t>
      </w:r>
    </w:p>
    <w:p>
      <w:pPr>
        <w:pStyle w:val="FirstParagraph"/>
      </w:pPr>
      <w:r>
        <w:t xml:space="preserve">Assuming a product weight of 0.5 kg for transport, and a supply chain from China to Europe.</w:t>
      </w:r>
    </w:p>
    <w:p>
      <w:pPr>
        <w:numPr>
          <w:ilvl w:val="0"/>
          <w:numId w:val="1017"/>
        </w:numPr>
        <w:pStyle w:val="Compact"/>
      </w:pPr>
      <w:r>
        <w:t xml:space="preserve">Total Product Weight for Transport = 0.5 kg = 0.0005 tonnes</w:t>
      </w:r>
    </w:p>
    <w:p>
      <w:pPr>
        <w:numPr>
          <w:ilvl w:val="0"/>
          <w:numId w:val="1017"/>
        </w:numPr>
        <w:pStyle w:val="Compact"/>
      </w:pPr>
      <w:r>
        <w:rPr>
          <w:bCs/>
          <w:b/>
        </w:rPr>
        <w:t xml:space="preserve">Ocean Freight (Inbound, China to Europe - Scope 3, Category 4):</w:t>
      </w:r>
    </w:p>
    <w:p>
      <w:pPr>
        <w:numPr>
          <w:ilvl w:val="1"/>
          <w:numId w:val="1018"/>
        </w:numPr>
        <w:pStyle w:val="Compact"/>
      </w:pPr>
      <w:r>
        <w:t xml:space="preserve">Distance = 15,000 km</w:t>
      </w:r>
    </w:p>
    <w:p>
      <w:pPr>
        <w:numPr>
          <w:ilvl w:val="1"/>
          <w:numId w:val="1018"/>
        </w:numPr>
        <w:pStyle w:val="Compact"/>
      </w:pPr>
      <w:r>
        <w:t xml:space="preserve">Emissions = 0.0005 tonnes * 15,000 km * 0.015 kg CO2e/tonne-km = 0.1125 kg CO2e</w:t>
      </w:r>
    </w:p>
    <w:p>
      <w:pPr>
        <w:numPr>
          <w:ilvl w:val="0"/>
          <w:numId w:val="1017"/>
        </w:numPr>
        <w:pStyle w:val="Compact"/>
      </w:pPr>
      <w:r>
        <w:rPr>
          <w:bCs/>
          <w:b/>
        </w:rPr>
        <w:t xml:space="preserve">Road Freight (Inbound, within Europe to factory - Scope 3, Category 4):</w:t>
      </w:r>
    </w:p>
    <w:p>
      <w:pPr>
        <w:numPr>
          <w:ilvl w:val="1"/>
          <w:numId w:val="1019"/>
        </w:numPr>
        <w:pStyle w:val="Compact"/>
      </w:pPr>
      <w:r>
        <w:t xml:space="preserve">Distance = 500 km</w:t>
      </w:r>
    </w:p>
    <w:p>
      <w:pPr>
        <w:numPr>
          <w:ilvl w:val="1"/>
          <w:numId w:val="1019"/>
        </w:numPr>
        <w:pStyle w:val="Compact"/>
      </w:pPr>
      <w:r>
        <w:t xml:space="preserve">Emissions = 0.0005 tonnes * 500 km * 0.09 kg CO2e/tonne-km = 0.0225 kg CO2e</w:t>
      </w:r>
    </w:p>
    <w:p>
      <w:pPr>
        <w:numPr>
          <w:ilvl w:val="0"/>
          <w:numId w:val="1017"/>
        </w:numPr>
        <w:pStyle w:val="Compact"/>
      </w:pPr>
      <w:r>
        <w:rPr>
          <w:bCs/>
          <w:b/>
        </w:rPr>
        <w:t xml:space="preserve">Last-Mile Delivery (Outbound, to end-user - Scope 3, Category 9):</w:t>
      </w:r>
    </w:p>
    <w:p>
      <w:pPr>
        <w:numPr>
          <w:ilvl w:val="1"/>
          <w:numId w:val="1020"/>
        </w:numPr>
        <w:pStyle w:val="Compact"/>
      </w:pPr>
      <w:r>
        <w:t xml:space="preserve">Emissions per unit = 0.7 kg CO2e/delivery (for 1 unit)</w:t>
      </w:r>
    </w:p>
    <w:p>
      <w:pPr>
        <w:pStyle w:val="FirstParagraph"/>
      </w:pPr>
      <w:r>
        <w:rPr>
          <w:bCs/>
          <w:b/>
        </w:rPr>
        <w:t xml:space="preserve">Total Transportation Emissions = 0.1125 (Ocean) + 0.0225 (Road) + 0.7 (Last-Mile) = 0.835 kg CO2e</w:t>
      </w:r>
    </w:p>
    <w:bookmarkEnd w:id="43"/>
    <w:bookmarkStart w:id="44" w:name="use-emissions"/>
    <w:p>
      <w:pPr>
        <w:pStyle w:val="Heading4"/>
      </w:pPr>
      <w:r>
        <w:t xml:space="preserve">4.5. Use Phase (Scope 3, Category 11)</w:t>
      </w:r>
    </w:p>
    <w:p>
      <w:pPr>
        <w:pStyle w:val="FirstParagraph"/>
      </w:pPr>
      <w:r>
        <w:t xml:space="preserve">Assuming a 5-year lifespan and 20 kWh/year energy consumption, using a general European electricity grid mix as representative of user consumption.</w:t>
      </w:r>
    </w:p>
    <w:p>
      <w:pPr>
        <w:numPr>
          <w:ilvl w:val="0"/>
          <w:numId w:val="1021"/>
        </w:numPr>
        <w:pStyle w:val="Compact"/>
      </w:pPr>
      <w:r>
        <w:t xml:space="preserve">Total Energy Consumption over Lifespan = 5 years * 20 kWh/year = 100 kWh</w:t>
      </w:r>
    </w:p>
    <w:p>
      <w:pPr>
        <w:numPr>
          <w:ilvl w:val="0"/>
          <w:numId w:val="1021"/>
        </w:numPr>
        <w:pStyle w:val="Compact"/>
      </w:pPr>
      <w:r>
        <w:t xml:space="preserve">Emissions (assuming average EU grid mix for user, illustrative EF 0.25 kg CO2e/kWh for end-user, distinct from Chinese production grid) = 100 kWh * 0.25 kg CO2e/kWh = 25.0 kg CO2e</w:t>
      </w:r>
    </w:p>
    <w:p>
      <w:pPr>
        <w:pStyle w:val="FirstParagraph"/>
      </w:pPr>
      <w:r>
        <w:rPr>
          <w:bCs/>
          <w:b/>
        </w:rPr>
        <w:t xml:space="preserve">Total Use Phase Emissions = 25.0 kg CO2e</w:t>
      </w:r>
    </w:p>
    <w:bookmarkEnd w:id="44"/>
    <w:bookmarkStart w:id="45" w:name="eol-emissions"/>
    <w:p>
      <w:pPr>
        <w:pStyle w:val="Heading4"/>
      </w:pPr>
      <w:r>
        <w:t xml:space="preserve">4.6. End-of-Life Treatment (Scope 3, Category 12)</w:t>
      </w:r>
    </w:p>
    <w:p>
      <w:pPr>
        <w:pStyle w:val="FirstParagraph"/>
      </w:pPr>
      <w:r>
        <w:t xml:space="preserve">Based on a total product weight of 0.5 kg and 60% recyclability.</w:t>
      </w:r>
    </w:p>
    <w:p>
      <w:pPr>
        <w:numPr>
          <w:ilvl w:val="0"/>
          <w:numId w:val="1022"/>
        </w:numPr>
        <w:pStyle w:val="Compact"/>
      </w:pPr>
      <w:r>
        <w:t xml:space="preserve">Waste to Landfill = 0.5 kg * (1 - 0.60) = 0.2 kg</w:t>
      </w:r>
    </w:p>
    <w:p>
      <w:pPr>
        <w:numPr>
          <w:ilvl w:val="0"/>
          <w:numId w:val="1022"/>
        </w:numPr>
        <w:pStyle w:val="Compact"/>
      </w:pPr>
      <w:r>
        <w:t xml:space="preserve">Material Recycled = 0.5 kg * 0.60 = 0.3 kg</w:t>
      </w:r>
    </w:p>
    <w:p>
      <w:pPr>
        <w:numPr>
          <w:ilvl w:val="0"/>
          <w:numId w:val="1022"/>
        </w:numPr>
        <w:pStyle w:val="Compact"/>
      </w:pPr>
      <w:r>
        <w:t xml:space="preserve">Emissions from Landfill = 0.2 kg * 0.5 kg CO2e/kg = 0.1 kg CO2e</w:t>
      </w:r>
    </w:p>
    <w:p>
      <w:pPr>
        <w:numPr>
          <w:ilvl w:val="0"/>
          <w:numId w:val="1022"/>
        </w:numPr>
        <w:pStyle w:val="Compact"/>
      </w:pPr>
      <w:r>
        <w:t xml:space="preserve">Emissions/Savings from Recycling (assuming net benefit for plastic recycling) = 0.3 kg * (-1.0 kg CO2e/kg) = -0.3 kg CO2e</w:t>
      </w:r>
    </w:p>
    <w:p>
      <w:pPr>
        <w:pStyle w:val="FirstParagraph"/>
      </w:pPr>
      <w:r>
        <w:rPr>
          <w:bCs/>
          <w:b/>
        </w:rPr>
        <w:t xml:space="preserve">Total End-of-Life Emissions = 0.1 (Landfill) + (-0.3) (Recycling) = -0.2 kg CO2e</w:t>
      </w:r>
      <w:r>
        <w:t xml:space="preserve"> </w:t>
      </w:r>
      <w:r>
        <w:t xml:space="preserve">(Net saving due to high recyclability benefit)</w:t>
      </w:r>
    </w:p>
    <w:bookmarkEnd w:id="45"/>
    <w:bookmarkStart w:id="46" w:name="total-pcf"/>
    <w:p>
      <w:pPr>
        <w:pStyle w:val="Heading4"/>
      </w:pPr>
      <w:r>
        <w:t xml:space="preserve">4.7. Total Product Carbon Footprint (PCF) for htijovskwi</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GHG Scope</w:t>
            </w:r>
          </w:p>
        </w:tc>
        <w:tc>
          <w:tcPr/>
          <w:p>
            <w:pPr>
              <w:pStyle w:val="Compact"/>
              <w:jc w:val="left"/>
            </w:pPr>
            <w:r>
              <w:t xml:space="preserve">GHG Category</w:t>
            </w:r>
          </w:p>
        </w:tc>
      </w:tr>
      <w:tr>
        <w:tc>
          <w:tcPr/>
          <w:p>
            <w:pPr>
              <w:pStyle w:val="Compact"/>
              <w:jc w:val="left"/>
            </w:pPr>
            <w:r>
              <w:t xml:space="preserve">Material Acquisition &amp; Pre-processing</w:t>
            </w:r>
          </w:p>
        </w:tc>
        <w:tc>
          <w:tcPr/>
          <w:p>
            <w:pPr>
              <w:pStyle w:val="Compact"/>
              <w:jc w:val="left"/>
            </w:pPr>
            <w:r>
              <w:t xml:space="preserve">1.900</w:t>
            </w:r>
          </w:p>
        </w:tc>
        <w:tc>
          <w:tcPr/>
          <w:p>
            <w:pPr>
              <w:pStyle w:val="Compact"/>
              <w:jc w:val="left"/>
            </w:pPr>
            <w:r>
              <w:t xml:space="preserve">Scope 3</w:t>
            </w:r>
          </w:p>
        </w:tc>
        <w:tc>
          <w:tcPr/>
          <w:p>
            <w:pPr>
              <w:pStyle w:val="Compact"/>
              <w:jc w:val="left"/>
            </w:pPr>
            <w:r>
              <w:t xml:space="preserve">Category 1 (Purchased Goods and Services)</w:t>
            </w:r>
          </w:p>
        </w:tc>
      </w:tr>
      <w:tr>
        <w:tc>
          <w:tcPr/>
          <w:p>
            <w:pPr>
              <w:pStyle w:val="Compact"/>
              <w:jc w:val="left"/>
            </w:pPr>
            <w:r>
              <w:t xml:space="preserve">Production Phase (Purchased Electricity)</w:t>
            </w:r>
          </w:p>
        </w:tc>
        <w:tc>
          <w:tcPr/>
          <w:p>
            <w:pPr>
              <w:pStyle w:val="Compact"/>
              <w:jc w:val="left"/>
            </w:pPr>
            <w:r>
              <w:t xml:space="preserve">0.850</w:t>
            </w:r>
          </w:p>
        </w:tc>
        <w:tc>
          <w:tcPr/>
          <w:p>
            <w:pPr>
              <w:pStyle w:val="Compact"/>
              <w:jc w:val="left"/>
            </w:pPr>
            <w:r>
              <w:t xml:space="preserve">Scope 2</w:t>
            </w:r>
          </w:p>
        </w:tc>
        <w:tc>
          <w:tcPr/>
          <w:p>
            <w:pPr>
              <w:pStyle w:val="Compact"/>
              <w:jc w:val="left"/>
            </w:pPr>
            <w:r>
              <w:t xml:space="preserve">Electricity (Purchased)</w:t>
            </w:r>
          </w:p>
        </w:tc>
      </w:tr>
      <w:tr>
        <w:tc>
          <w:tcPr/>
          <w:p>
            <w:pPr>
              <w:pStyle w:val="Compact"/>
              <w:jc w:val="left"/>
            </w:pPr>
            <w:r>
              <w:t xml:space="preserve">Production Phase (Upstream Electricity)</w:t>
            </w:r>
          </w:p>
        </w:tc>
        <w:tc>
          <w:tcPr/>
          <w:p>
            <w:pPr>
              <w:pStyle w:val="Compact"/>
              <w:jc w:val="left"/>
            </w:pPr>
            <w:r>
              <w:t xml:space="preserve">0.163</w:t>
            </w:r>
          </w:p>
        </w:tc>
        <w:tc>
          <w:tcPr/>
          <w:p>
            <w:pPr>
              <w:pStyle w:val="Compact"/>
              <w:jc w:val="left"/>
            </w:pPr>
            <w:r>
              <w:t xml:space="preserve">Scope 3</w:t>
            </w:r>
          </w:p>
        </w:tc>
        <w:tc>
          <w:tcPr/>
          <w:p>
            <w:pPr>
              <w:pStyle w:val="Compact"/>
              <w:jc w:val="left"/>
            </w:pPr>
            <w:r>
              <w:t xml:space="preserve">Category 3 (Fuel- and Energy-Related Activities)</w:t>
            </w:r>
          </w:p>
        </w:tc>
      </w:tr>
      <w:tr>
        <w:tc>
          <w:tcPr/>
          <w:p>
            <w:pPr>
              <w:pStyle w:val="Compact"/>
              <w:jc w:val="left"/>
            </w:pPr>
            <w:r>
              <w:t xml:space="preserve">Upstream Transportation (Inbound)</w:t>
            </w:r>
          </w:p>
        </w:tc>
        <w:tc>
          <w:tcPr/>
          <w:p>
            <w:pPr>
              <w:pStyle w:val="Compact"/>
              <w:jc w:val="left"/>
            </w:pPr>
            <w:r>
              <w:t xml:space="preserve">0.135</w:t>
            </w:r>
          </w:p>
        </w:tc>
        <w:tc>
          <w:tcPr/>
          <w:p>
            <w:pPr>
              <w:pStyle w:val="Compact"/>
              <w:jc w:val="left"/>
            </w:pPr>
            <w:r>
              <w:t xml:space="preserve">Scope 3</w:t>
            </w:r>
          </w:p>
        </w:tc>
        <w:tc>
          <w:tcPr/>
          <w:p>
            <w:pPr>
              <w:pStyle w:val="Compact"/>
              <w:jc w:val="left"/>
            </w:pPr>
            <w:r>
              <w:t xml:space="preserve">Category 4 (Upstream Transportation and Distribution)</w:t>
            </w:r>
          </w:p>
        </w:tc>
      </w:tr>
      <w:tr>
        <w:tc>
          <w:tcPr/>
          <w:p>
            <w:pPr>
              <w:pStyle w:val="Compact"/>
              <w:jc w:val="left"/>
            </w:pPr>
            <w:r>
              <w:t xml:space="preserve">Downstream Transportation (Last-Mile)</w:t>
            </w:r>
          </w:p>
        </w:tc>
        <w:tc>
          <w:tcPr/>
          <w:p>
            <w:pPr>
              <w:pStyle w:val="Compact"/>
              <w:jc w:val="left"/>
            </w:pPr>
            <w:r>
              <w:t xml:space="preserve">0.700</w:t>
            </w:r>
          </w:p>
        </w:tc>
        <w:tc>
          <w:tcPr/>
          <w:p>
            <w:pPr>
              <w:pStyle w:val="Compact"/>
              <w:jc w:val="left"/>
            </w:pPr>
            <w:r>
              <w:t xml:space="preserve">Scope 3</w:t>
            </w:r>
          </w:p>
        </w:tc>
        <w:tc>
          <w:tcPr/>
          <w:p>
            <w:pPr>
              <w:pStyle w:val="Compact"/>
              <w:jc w:val="left"/>
            </w:pPr>
            <w:r>
              <w:t xml:space="preserve">Category 9 (Downstream Transportation and Distribution)</w:t>
            </w:r>
          </w:p>
        </w:tc>
      </w:tr>
      <w:tr>
        <w:tc>
          <w:tcPr/>
          <w:p>
            <w:pPr>
              <w:pStyle w:val="Compact"/>
              <w:jc w:val="left"/>
            </w:pPr>
            <w:r>
              <w:t xml:space="preserve">Use Phase</w:t>
            </w:r>
          </w:p>
        </w:tc>
        <w:tc>
          <w:tcPr/>
          <w:p>
            <w:pPr>
              <w:pStyle w:val="Compact"/>
              <w:jc w:val="left"/>
            </w:pPr>
            <w:r>
              <w:t xml:space="preserve">25.000</w:t>
            </w:r>
          </w:p>
        </w:tc>
        <w:tc>
          <w:tcPr/>
          <w:p>
            <w:pPr>
              <w:pStyle w:val="Compact"/>
              <w:jc w:val="left"/>
            </w:pPr>
            <w:r>
              <w:t xml:space="preserve">Scope 3</w:t>
            </w:r>
          </w:p>
        </w:tc>
        <w:tc>
          <w:tcPr/>
          <w:p>
            <w:pPr>
              <w:pStyle w:val="Compact"/>
              <w:jc w:val="left"/>
            </w:pPr>
            <w:r>
              <w:t xml:space="preserve">Category 11 (Use of Sold Products)</w:t>
            </w:r>
          </w:p>
        </w:tc>
      </w:tr>
      <w:tr>
        <w:tc>
          <w:tcPr/>
          <w:p>
            <w:pPr>
              <w:pStyle w:val="Compact"/>
              <w:jc w:val="left"/>
            </w:pPr>
            <w:r>
              <w:t xml:space="preserve">End-of-Life Treatment</w:t>
            </w:r>
          </w:p>
        </w:tc>
        <w:tc>
          <w:tcPr/>
          <w:p>
            <w:pPr>
              <w:pStyle w:val="Compact"/>
              <w:jc w:val="left"/>
            </w:pPr>
            <w:r>
              <w:t xml:space="preserve">-0.200</w:t>
            </w:r>
          </w:p>
        </w:tc>
        <w:tc>
          <w:tcPr/>
          <w:p>
            <w:pPr>
              <w:pStyle w:val="Compact"/>
              <w:jc w:val="left"/>
            </w:pPr>
            <w:r>
              <w:t xml:space="preserve">Scope 3</w:t>
            </w:r>
          </w:p>
        </w:tc>
        <w:tc>
          <w:tcPr/>
          <w:p>
            <w:pPr>
              <w:pStyle w:val="Compact"/>
              <w:jc w:val="left"/>
            </w:pPr>
            <w:r>
              <w:t xml:space="preserve">Category 12 (End-of-Life Treatment of Sold Products)</w:t>
            </w:r>
          </w:p>
        </w:tc>
      </w:tr>
      <w:tr>
        <w:tc>
          <w:tcPr/>
          <w:p>
            <w:pPr>
              <w:pStyle w:val="Compact"/>
              <w:jc w:val="left"/>
            </w:pPr>
            <w:r>
              <w:rPr>
                <w:bCs/>
                <w:b/>
              </w:rPr>
              <w:t xml:space="preserve">TOTAL PCF</w:t>
            </w:r>
          </w:p>
        </w:tc>
        <w:tc>
          <w:tcPr/>
          <w:p>
            <w:pPr>
              <w:pStyle w:val="Compact"/>
              <w:jc w:val="left"/>
            </w:pPr>
            <w:r>
              <w:rPr>
                <w:bCs/>
                <w:b/>
              </w:rPr>
              <w:t xml:space="preserve">28.548 kg CO2e</w:t>
            </w:r>
          </w:p>
        </w:tc>
        <w:tc>
          <w:tcPr/>
          <w:p>
            <w:pPr>
              <w:pStyle w:val="Compact"/>
            </w:pPr>
          </w:p>
        </w:tc>
        <w:tc>
          <w:tcPr/>
          <w:p>
            <w:pPr>
              <w:pStyle w:val="Compact"/>
            </w:pPr>
          </w:p>
        </w:tc>
      </w:tr>
    </w:tbl>
    <w:bookmarkEnd w:id="46"/>
    <w:bookmarkStart w:id="47" w:name="ghg-scopes-summary"/>
    <w:p>
      <w:pPr>
        <w:pStyle w:val="Heading4"/>
      </w:pPr>
      <w:r>
        <w:t xml:space="preserve">4.8. GHG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0.850</w:t>
            </w:r>
          </w:p>
        </w:tc>
        <w:tc>
          <w:tcPr/>
          <w:p>
            <w:pPr>
              <w:pStyle w:val="Compact"/>
              <w:jc w:val="left"/>
            </w:pPr>
            <w:r>
              <w:t xml:space="preserve">2.98%</w:t>
            </w:r>
          </w:p>
        </w:tc>
      </w:tr>
      <w:tr>
        <w:tc>
          <w:tcPr/>
          <w:p>
            <w:pPr>
              <w:pStyle w:val="Compact"/>
              <w:jc w:val="left"/>
            </w:pPr>
            <w:r>
              <w:t xml:space="preserve">Scope 3 (Value Chain)</w:t>
            </w:r>
          </w:p>
        </w:tc>
        <w:tc>
          <w:tcPr/>
          <w:p>
            <w:pPr>
              <w:pStyle w:val="Compact"/>
              <w:jc w:val="left"/>
            </w:pPr>
            <w:r>
              <w:t xml:space="preserve">27.698</w:t>
            </w:r>
          </w:p>
        </w:tc>
        <w:tc>
          <w:tcPr/>
          <w:p>
            <w:pPr>
              <w:pStyle w:val="Compact"/>
              <w:jc w:val="left"/>
            </w:pPr>
            <w:r>
              <w:t xml:space="preserve">97.02%</w:t>
            </w:r>
          </w:p>
        </w:tc>
      </w:tr>
      <w:tr>
        <w:tc>
          <w:tcPr/>
          <w:p>
            <w:pPr>
              <w:pStyle w:val="Compact"/>
              <w:jc w:val="left"/>
            </w:pPr>
            <w:r>
              <w:rPr>
                <w:bCs/>
                <w:b/>
              </w:rPr>
              <w:t xml:space="preserve">TOTAL</w:t>
            </w:r>
          </w:p>
        </w:tc>
        <w:tc>
          <w:tcPr/>
          <w:p>
            <w:pPr>
              <w:pStyle w:val="Compact"/>
              <w:jc w:val="left"/>
            </w:pPr>
            <w:r>
              <w:rPr>
                <w:bCs/>
                <w:b/>
              </w:rPr>
              <w:t xml:space="preserve">28.548 kg CO2e</w:t>
            </w:r>
          </w:p>
        </w:tc>
        <w:tc>
          <w:tcPr/>
          <w:p>
            <w:pPr>
              <w:pStyle w:val="Compact"/>
              <w:jc w:val="left"/>
            </w:pPr>
            <w:r>
              <w:rPr>
                <w:bCs/>
                <w:b/>
              </w:rPr>
              <w:t xml:space="preserve">100.00%</w:t>
            </w:r>
          </w:p>
        </w:tc>
      </w:tr>
    </w:tbl>
    <w:p>
      <w:pPr>
        <w:pStyle w:val="BodyText"/>
      </w:pPr>
      <w:r>
        <w:t xml:space="preserve">As is common for manufactured products, Scope 3 emissions dominate the product\'s carbon footprint, accounting for approximately</w:t>
      </w:r>
      <w:r>
        <w:t xml:space="preserve"> </w:t>
      </w:r>
      <w:r>
        <w:t xml:space="preserve">97.02%</w:t>
      </w:r>
      <w:r>
        <w:t xml:space="preserve"> </w:t>
      </w:r>
      <w:r>
        <w:t xml:space="preserve">of the total. This highlights the critical importance of a comprehensive Scope 3 accounting and engagement with the value chain for meaningful emission reductions.</w:t>
      </w:r>
    </w:p>
    <w:p>
      <w:r>
        <w:pict>
          <v:rect style="width:0;height:1.5pt" o:hralign="center" o:hrstd="t" o:hr="t"/>
        </w:pict>
      </w:r>
    </w:p>
    <w:bookmarkEnd w:id="47"/>
    <w:bookmarkEnd w:id="48"/>
    <w:bookmarkEnd w:id="49"/>
    <w:bookmarkStart w:id="51" w:name="hotspots-recommendations"/>
    <w:p>
      <w:pPr>
        <w:pStyle w:val="Heading2"/>
      </w:pPr>
      <w:r>
        <w:t xml:space="preserve">5. Hotspots and Recommendations</w:t>
      </w:r>
    </w:p>
    <w:p>
      <w:pPr>
        <w:pStyle w:val="FirstParagraph"/>
      </w:pPr>
      <w:r>
        <w:t xml:space="preserve">The PCF analysis reveals the following key emission hotspots for htijovskwi:</w:t>
      </w:r>
    </w:p>
    <w:p>
      <w:pPr>
        <w:numPr>
          <w:ilvl w:val="0"/>
          <w:numId w:val="1023"/>
        </w:numPr>
        <w:pStyle w:val="Compact"/>
      </w:pPr>
      <w:r>
        <w:rPr>
          <w:bCs/>
          <w:b/>
        </w:rPr>
        <w:t xml:space="preserve">Use Phase (25.0 kg CO2e / 87.57% of total):</w:t>
      </w:r>
      <w:r>
        <w:t xml:space="preserve"> </w:t>
      </w:r>
      <w:r>
        <w:t xml:space="preserve">This is by far the largest contributor to the product\'s footprint. The energy consumption over its 5-year lifespan significantly outweighs other stages.</w:t>
      </w:r>
    </w:p>
    <w:p>
      <w:pPr>
        <w:numPr>
          <w:ilvl w:val="0"/>
          <w:numId w:val="1023"/>
        </w:numPr>
        <w:pStyle w:val="Compact"/>
      </w:pPr>
      <w:r>
        <w:rPr>
          <w:bCs/>
          <w:b/>
        </w:rPr>
        <w:t xml:space="preserve">Material Acquisition &amp; Pre-processing (1.900 kg CO2e / 6.66% of total):</w:t>
      </w:r>
      <w:r>
        <w:t xml:space="preserve"> </w:t>
      </w:r>
      <w:r>
        <w:t xml:space="preserve">Specific electronic components and certain plastics contribute significantly to the upstream material footprint.</w:t>
      </w:r>
    </w:p>
    <w:p>
      <w:pPr>
        <w:numPr>
          <w:ilvl w:val="0"/>
          <w:numId w:val="1023"/>
        </w:numPr>
        <w:pStyle w:val="Compact"/>
      </w:pPr>
      <w:r>
        <w:rPr>
          <w:bCs/>
          <w:b/>
        </w:rPr>
        <w:t xml:space="preserve">Downstream Transportation (Last-Mile Delivery) (0.700 kg CO2e / 2.45% of total):</w:t>
      </w:r>
      <w:r>
        <w:t xml:space="preserve"> </w:t>
      </w:r>
      <w:r>
        <w:t xml:space="preserve">The final delivery stage, while seemingly small per unit, can accumulate rapidly due to individual parcel shipments.</w:t>
      </w:r>
    </w:p>
    <w:bookmarkStart w:id="50" w:name="recommendations-for-upxsdnzqtr"/>
    <w:p>
      <w:pPr>
        <w:pStyle w:val="Heading3"/>
      </w:pPr>
      <w:r>
        <w:t xml:space="preserve">Recommendations for upxsdnzqtr:</w:t>
      </w:r>
    </w:p>
    <w:p>
      <w:pPr>
        <w:numPr>
          <w:ilvl w:val="0"/>
          <w:numId w:val="1024"/>
        </w:numPr>
        <w:pStyle w:val="Compact"/>
      </w:pPr>
      <w:r>
        <w:rPr>
          <w:bCs/>
          <w:b/>
        </w:rPr>
        <w:t xml:space="preserve">Optimize Use Phase Efficiency:</w:t>
      </w:r>
    </w:p>
    <w:p>
      <w:pPr>
        <w:numPr>
          <w:ilvl w:val="1"/>
          <w:numId w:val="1025"/>
        </w:numPr>
        <w:pStyle w:val="Compact"/>
      </w:pPr>
      <w:r>
        <w:rPr>
          <w:bCs/>
          <w:b/>
        </w:rPr>
        <w:t xml:space="preserve">Energy Efficiency Redesign:</w:t>
      </w:r>
      <w:r>
        <w:t xml:space="preserve"> </w:t>
      </w:r>
      <w:r>
        <w:t xml:space="preserve">Invest in R&amp;D to significantly reduce the operational energy consumption of htijovskwi. Even small annual reductions can lead to substantial overall savings over the product\'s lifespan.</w:t>
      </w:r>
    </w:p>
    <w:p>
      <w:pPr>
        <w:numPr>
          <w:ilvl w:val="1"/>
          <w:numId w:val="1025"/>
        </w:numPr>
        <w:pStyle w:val="Compact"/>
      </w:pPr>
      <w:r>
        <w:rPr>
          <w:bCs/>
          <w:b/>
        </w:rPr>
        <w:t xml:space="preserve">Smart Energy Management Features:</w:t>
      </w:r>
      <w:r>
        <w:t xml:space="preserve"> </w:t>
      </w:r>
      <w:r>
        <w:t xml:space="preserve">Integrate advanced smart features (e.g., improved standby modes, AI-driven energy optimization, user energy dashboards) to help consumers minimize energy use.</w:t>
      </w:r>
    </w:p>
    <w:p>
      <w:pPr>
        <w:numPr>
          <w:ilvl w:val="1"/>
          <w:numId w:val="1025"/>
        </w:numPr>
        <w:pStyle w:val="Compact"/>
      </w:pPr>
      <w:r>
        <w:rPr>
          <w:bCs/>
          <w:b/>
        </w:rPr>
        <w:t xml:space="preserve">Renewable Energy Promotion:</w:t>
      </w:r>
      <w:r>
        <w:t xml:space="preserve"> </w:t>
      </w:r>
      <w:r>
        <w:t xml:space="preserve">Educate end-users on the benefits of powering smart devices with renewable energy sources, perhaps through partnerships or information campaigns.</w:t>
      </w:r>
    </w:p>
    <w:p>
      <w:pPr>
        <w:numPr>
          <w:ilvl w:val="0"/>
          <w:numId w:val="1024"/>
        </w:numPr>
        <w:pStyle w:val="Compact"/>
      </w:pPr>
      <w:r>
        <w:rPr>
          <w:bCs/>
          <w:b/>
        </w:rPr>
        <w:t xml:space="preserve">Sustainable Material Sourcing:</w:t>
      </w:r>
    </w:p>
    <w:p>
      <w:pPr>
        <w:numPr>
          <w:ilvl w:val="1"/>
          <w:numId w:val="1026"/>
        </w:numPr>
        <w:pStyle w:val="Compact"/>
      </w:pPr>
      <w:r>
        <w:rPr>
          <w:bCs/>
          <w:b/>
        </w:rPr>
        <w:t xml:space="preserve">Low-Carbon Materials:</w:t>
      </w:r>
      <w:r>
        <w:t xml:space="preserve"> </w:t>
      </w:r>
      <w:r>
        <w:t xml:space="preserve">Explore alternative materials with lower embodied carbon for components like plastics and electronics, such as post-consumer recycled (PCR) plastics with verified lower footprints.</w:t>
      </w:r>
    </w:p>
    <w:p>
      <w:pPr>
        <w:numPr>
          <w:ilvl w:val="1"/>
          <w:numId w:val="1026"/>
        </w:numPr>
        <w:pStyle w:val="Compact"/>
      </w:pPr>
      <w:r>
        <w:rPr>
          <w:bCs/>
          <w:b/>
        </w:rPr>
        <w:t xml:space="preserve">Supplier Engagement:</w:t>
      </w:r>
      <w:r>
        <w:t xml:space="preserve"> </w:t>
      </w:r>
      <w:r>
        <w:t xml:space="preserve">Collaborate with key suppliers (especially for PCBs, batteries, and plastics) to encourage the use of renewable energy in their manufacturing processes and improve their own PCFs.</w:t>
      </w:r>
    </w:p>
    <w:p>
      <w:pPr>
        <w:numPr>
          <w:ilvl w:val="0"/>
          <w:numId w:val="1024"/>
        </w:numPr>
        <w:pStyle w:val="Compact"/>
      </w:pPr>
      <w:r>
        <w:rPr>
          <w:bCs/>
          <w:b/>
        </w:rPr>
        <w:t xml:space="preserve">Enhance Logistics Efficiency:</w:t>
      </w:r>
    </w:p>
    <w:p>
      <w:pPr>
        <w:numPr>
          <w:ilvl w:val="1"/>
          <w:numId w:val="1027"/>
        </w:numPr>
        <w:pStyle w:val="Compact"/>
      </w:pPr>
      <w:r>
        <w:rPr>
          <w:bCs/>
          <w:b/>
        </w:rPr>
        <w:t xml:space="preserve">Consolidated Shipments:</w:t>
      </w:r>
      <w:r>
        <w:t xml:space="preserve"> </w:t>
      </w:r>
      <w:r>
        <w:t xml:space="preserve">Investigate options for consolidating last-mile deliveries or optimizing routes to reduce the per-unit footprint of downstream transportation.</w:t>
      </w:r>
    </w:p>
    <w:p>
      <w:pPr>
        <w:numPr>
          <w:ilvl w:val="1"/>
          <w:numId w:val="1027"/>
        </w:numPr>
        <w:pStyle w:val="Compact"/>
      </w:pPr>
      <w:r>
        <w:rPr>
          <w:bCs/>
          <w:b/>
        </w:rPr>
        <w:t xml:space="preserve">Green Logistics Partners:</w:t>
      </w:r>
      <w:r>
        <w:t xml:space="preserve"> </w:t>
      </w:r>
      <w:r>
        <w:t xml:space="preserve">Prioritize logistics providers that utilize low-emission vehicles or alternative fuels for transportation.</w:t>
      </w:r>
    </w:p>
    <w:p>
      <w:pPr>
        <w:numPr>
          <w:ilvl w:val="0"/>
          <w:numId w:val="1024"/>
        </w:numPr>
        <w:pStyle w:val="Compact"/>
      </w:pPr>
      <w:r>
        <w:rPr>
          <w:bCs/>
          <w:b/>
        </w:rPr>
        <w:t xml:space="preserve">Strengthen Circular Economy Initiatives:</w:t>
      </w:r>
    </w:p>
    <w:p>
      <w:pPr>
        <w:numPr>
          <w:ilvl w:val="1"/>
          <w:numId w:val="1028"/>
        </w:numPr>
        <w:pStyle w:val="Compact"/>
      </w:pPr>
      <w:r>
        <w:rPr>
          <w:bCs/>
          <w:b/>
        </w:rPr>
        <w:t xml:space="preserve">Expand Take-back Programs:</w:t>
      </w:r>
      <w:r>
        <w:t xml:space="preserve"> </w:t>
      </w:r>
      <w:r>
        <w:t xml:space="preserve">Continue and expand regional take-back programs to ensure a higher percentage of products are collected for recycling or proper disposal, leveraging the positive impact identified in the EoL stage.</w:t>
      </w:r>
    </w:p>
    <w:p>
      <w:pPr>
        <w:numPr>
          <w:ilvl w:val="1"/>
          <w:numId w:val="1028"/>
        </w:numPr>
        <w:pStyle w:val="Compact"/>
      </w:pPr>
      <w:r>
        <w:rPr>
          <w:bCs/>
          <w:b/>
        </w:rPr>
        <w:t xml:space="preserve">Design for Disassembly:</w:t>
      </w:r>
      <w:r>
        <w:t xml:space="preserve"> </w:t>
      </w:r>
      <w:r>
        <w:t xml:space="preserve">Implement design principles that facilitate easier disassembly and material segregation, further improving the efficiency and impact of recycling.</w:t>
      </w:r>
    </w:p>
    <w:p>
      <w:pPr>
        <w:numPr>
          <w:ilvl w:val="0"/>
          <w:numId w:val="1024"/>
        </w:numPr>
        <w:pStyle w:val="Compact"/>
      </w:pPr>
      <w:r>
        <w:rPr>
          <w:bCs/>
          <w:b/>
        </w:rPr>
        <w:t xml:space="preserve">Continuous Data Improvement:</w:t>
      </w:r>
    </w:p>
    <w:p>
      <w:pPr>
        <w:numPr>
          <w:ilvl w:val="1"/>
          <w:numId w:val="1029"/>
        </w:numPr>
        <w:pStyle w:val="Compact"/>
      </w:pPr>
      <w:r>
        <w:rPr>
          <w:bCs/>
          <w:b/>
        </w:rPr>
        <w:t xml:space="preserve">Primary Data Collection:</w:t>
      </w:r>
      <w:r>
        <w:t xml:space="preserve"> </w:t>
      </w:r>
      <w:r>
        <w:t xml:space="preserve">Work towards collecting more primary data from supply chain partners for more precise Scope 3 accounting, especially for material-intensive components.</w:t>
      </w:r>
    </w:p>
    <w:p>
      <w:pPr>
        <w:numPr>
          <w:ilvl w:val="1"/>
          <w:numId w:val="1029"/>
        </w:numPr>
        <w:pStyle w:val="Compact"/>
      </w:pPr>
      <w:r>
        <w:rPr>
          <w:bCs/>
          <w:b/>
        </w:rPr>
        <w:t xml:space="preserve">Regular PCF Updates:</w:t>
      </w:r>
      <w:r>
        <w:t xml:space="preserve"> </w:t>
      </w:r>
      <w:r>
        <w:t xml:space="preserve">Conduct periodic PCF updates to track progress on reduction initiatives and adapt to evolving standards and supply chain changes.</w:t>
      </w:r>
    </w:p>
    <w:p>
      <w:r>
        <w:pict>
          <v:rect style="width:0;height:1.5pt" o:hralign="center" o:hrstd="t" o:hr="t"/>
        </w:pict>
      </w:r>
    </w:p>
    <w:bookmarkEnd w:id="50"/>
    <w:bookmarkEnd w:id="51"/>
    <w:bookmarkStart w:id="52" w:name="conclusion"/>
    <w:p>
      <w:pPr>
        <w:pStyle w:val="Heading2"/>
      </w:pPr>
      <w:r>
        <w:t xml:space="preserve">6. Conclusion</w:t>
      </w:r>
    </w:p>
    <w:p>
      <w:pPr>
        <w:pStyle w:val="FirstParagraph"/>
      </w:pPr>
      <w:r>
        <w:t xml:space="preserve">The Product Carbon Footprint of</w:t>
      </w:r>
      <w:r>
        <w:t xml:space="preserve"> </w:t>
      </w:r>
      <w:r>
        <w:t xml:space="preserve">htijovskwi</w:t>
      </w:r>
      <w:r>
        <w:t xml:space="preserve"> </w:t>
      </w:r>
      <w:r>
        <w:t xml:space="preserve">is calculated at approximately</w:t>
      </w:r>
      <w:r>
        <w:t xml:space="preserve"> </w:t>
      </w:r>
      <w:r>
        <w:t xml:space="preserve">28.548 kg CO2e</w:t>
      </w:r>
      <w:r>
        <w:t xml:space="preserve"> </w:t>
      </w:r>
      <w:r>
        <w:t xml:space="preserve">per functional unit. This analysis underscores the significant environmental impact of the product\'s use phase, followed by material acquisition and downstream transportation. By strategically addressing these hotspots through design optimization, sustainable sourcing, and enhanced circularity,</w:t>
      </w:r>
      <w:r>
        <w:t xml:space="preserve"> </w:t>
      </w:r>
      <w:r>
        <w:t xml:space="preserve">upxsdnzqtr</w:t>
      </w:r>
      <w:r>
        <w:t xml:space="preserve"> </w:t>
      </w:r>
      <w:r>
        <w:t xml:space="preserve">has substantial opportunities to reduce the overall environmental footprint of</w:t>
      </w:r>
      <w:r>
        <w:t xml:space="preserve"> </w:t>
      </w:r>
      <w:r>
        <w:t xml:space="preserve">htijovskwi</w:t>
      </w:r>
      <w:r>
        <w:t xml:space="preserve"> </w:t>
      </w:r>
      <w:r>
        <w:t xml:space="preserve">and demonstrate leadership in product sustainability. Adherence to the</w:t>
      </w:r>
      <w:r>
        <w:t xml:space="preserve"> </w:t>
      </w:r>
      <w:r>
        <w:t xml:space="preserve">GHG Protocol</w:t>
      </w:r>
      <w:r>
        <w:t xml:space="preserve"> </w:t>
      </w:r>
      <w:r>
        <w:t xml:space="preserve">and proactive engagement with the 2026 updates ensures that</w:t>
      </w:r>
      <w:r>
        <w:t xml:space="preserve"> </w:t>
      </w:r>
      <w:r>
        <w:t xml:space="preserve">upxsdnzqtr</w:t>
      </w:r>
      <w:r>
        <w:t xml:space="preserve"> </w:t>
      </w:r>
      <w:r>
        <w:t xml:space="preserve">remains at the forefront of robust and transparent carbon accounting.</w:t>
      </w:r>
    </w:p>
    <w:p>
      <w:r>
        <w:pict>
          <v:rect style="width:0;height:1.5pt" o:hralign="center" o:hrstd="t" o:hr="t"/>
        </w:pict>
      </w:r>
    </w:p>
    <w:bookmarkEnd w:id="52"/>
    <w:bookmarkStart w:id="53" w:name="disclaimer-assumptions"/>
    <w:p>
      <w:pPr>
        <w:pStyle w:val="Heading2"/>
      </w:pPr>
      <w:r>
        <w:t xml:space="preserve">7. Disclaimer on Assumptions</w:t>
      </w:r>
    </w:p>
    <w:p>
      <w:pPr>
        <w:pStyle w:val="FirstParagraph"/>
      </w:pPr>
      <w:r>
        <w:t xml:space="preserve">This report relies on a combination of provided parameters, illustrative data, and publicly available emission factors from reputable sources (e.g., Ecoinvent, DEFRA). Due to the placeholder nature of some initial parameters (e.g., rirxgjgd, slzfoojeti), specific values for Bill of Materials, transport distances, energy usage, and end-of-life scenarios have been reasonably assumed to enable a comprehensive calculation. While these assumptions are based on industry averages and best available estimates, the precision of the final PCF is directly tied to the accuracy and granularity of the underlying data. For a real-world application, direct primary data collection from all relevant supply chain partners would yield the most accurate results.</w:t>
      </w:r>
    </w:p>
    <w:bookmarkEnd w:id="53"/>
    <w:bookmarkStart w:id="54" w:name="references"/>
    <w:p>
      <w:pPr>
        <w:pStyle w:val="Heading2"/>
      </w:pPr>
      <w:r>
        <w:t xml:space="preserve">8. References</w:t>
      </w:r>
    </w:p>
    <w:p>
      <w:pPr>
        <w:numPr>
          <w:ilvl w:val="0"/>
          <w:numId w:val="1030"/>
        </w:numPr>
        <w:pStyle w:val="Compact"/>
      </w:pPr>
      <w:r>
        <w:t xml:space="preserve">GHG Protocol Corporate Accounting and Reporting Standard.</w:t>
      </w:r>
    </w:p>
    <w:p>
      <w:pPr>
        <w:numPr>
          <w:ilvl w:val="0"/>
          <w:numId w:val="1030"/>
        </w:numPr>
        <w:pStyle w:val="Compact"/>
      </w:pPr>
      <w:r>
        <w:t xml:space="preserve">GHG Protocol Corporate Value Chain (Scope 3) Accounting and Reporting Standard.</w:t>
      </w:r>
    </w:p>
    <w:p>
      <w:pPr>
        <w:numPr>
          <w:ilvl w:val="0"/>
          <w:numId w:val="1030"/>
        </w:numPr>
        <w:pStyle w:val="Compact"/>
      </w:pPr>
      <w:r>
        <w:t xml:space="preserve">GHG Protocol Land Sector and Removals (LSR) Standard (January 30, 2026).</w:t>
      </w:r>
    </w:p>
    <w:p>
      <w:pPr>
        <w:numPr>
          <w:ilvl w:val="0"/>
          <w:numId w:val="1030"/>
        </w:numPr>
        <w:pStyle w:val="Compact"/>
      </w:pPr>
      <w:r>
        <w:t xml:space="preserve">Ecoinvent Database (general reference for LCI data and emission factors).</w:t>
      </w:r>
    </w:p>
    <w:p>
      <w:pPr>
        <w:numPr>
          <w:ilvl w:val="0"/>
          <w:numId w:val="1030"/>
        </w:numPr>
        <w:pStyle w:val="Compact"/>
      </w:pPr>
      <w:r>
        <w:t xml:space="preserve">DEFRA (Department for Environment, Food &amp; Rural Affairs) UK Government GHG Conversion Factors for Company Reporting (general reference for transport and waste emission factors).</w:t>
      </w:r>
    </w:p>
    <w:p>
      <w:pPr>
        <w:numPr>
          <w:ilvl w:val="0"/>
          <w:numId w:val="1030"/>
        </w:numPr>
        <w:pStyle w:val="Compact"/>
      </w:pPr>
      <w:r>
        <w:t xml:space="preserve">IPCC Fifth Assessment Report (AR5) for Global Warming Potentials.</w:t>
      </w:r>
    </w:p>
    <w:p>
      <w:pPr>
        <w:numPr>
          <w:ilvl w:val="0"/>
          <w:numId w:val="1030"/>
        </w:numPr>
        <w:pStyle w:val="Compact"/>
      </w:pPr>
      <w:r>
        <w:t xml:space="preserve">Climatiq (source of various emission factors, citing underlying sources like DEFRA, Ecoinvent, EPA).</w:t>
      </w:r>
    </w:p>
    <w:p>
      <w:pPr>
        <w:numPr>
          <w:ilvl w:val="0"/>
          <w:numId w:val="1030"/>
        </w:numPr>
        <w:pStyle w:val="Compact"/>
      </w:pPr>
      <w:r>
        <w:t xml:space="preserve">Sources regarding China\'s electricity grid emission factors.</w:t>
      </w:r>
    </w:p>
    <w:p>
      <w:pPr>
        <w:numPr>
          <w:ilvl w:val="0"/>
          <w:numId w:val="1030"/>
        </w:numPr>
        <w:pStyle w:val="Compact"/>
      </w:pPr>
      <w:r>
        <w:t xml:space="preserve">Sources regarding plastic recycling benefits and landfill emissions.</w:t>
      </w:r>
    </w:p>
    <w:p>
      <w:pPr>
        <w:numPr>
          <w:ilvl w:val="0"/>
          <w:numId w:val="1030"/>
        </w:numPr>
        <w:pStyle w:val="Compact"/>
      </w:pPr>
      <w:r>
        <w:t xml:space="preserve">Sources regarding Smart Home Device energy consumption and impact.</w:t>
      </w:r>
    </w:p>
    <w:p>
      <w:pPr>
        <w:numPr>
          <w:ilvl w:val="0"/>
          <w:numId w:val="1030"/>
        </w:numPr>
        <w:pStyle w:val="Compact"/>
      </w:pPr>
      <w:r>
        <w:t xml:space="preserve">Sources regarding GHG Protocol Scope 3 95% coverage requirement.</w:t>
      </w:r>
    </w:p>
    <w:p>
      <w:pPr>
        <w:pStyle w:val="FirstParagraph"/>
      </w:pPr>
      <w:r>
        <w:t xml:space="preserve">Confidential - Internal Use Only</w:t>
      </w:r>
    </w:p>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1"/>
  </w:num>
  <w:num w:numId="1026">
    <w:abstractNumId w:val="991"/>
  </w:num>
  <w:num w:numId="1027">
    <w:abstractNumId w:val="991"/>
  </w:num>
  <w:num w:numId="1028">
    <w:abstractNumId w:val="991"/>
  </w:num>
  <w:num w:numId="1029">
    <w:abstractNumId w:val="991"/>
  </w:num>
  <w:num w:numId="103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htijovskwi</dc:title>
  <dc:creator/>
  <dc:description>High-detail Product Carbon Footprint (PCF) analysis for htijovskwi, prepared by Senior Sustainability Consultant zreeoiguvd, adhering to GHG Protocol standards and 2026 updates.</dc:description>
  <dc:language>en</dc:language>
  <cp:keywords/>
  <dcterms:created xsi:type="dcterms:W3CDTF">2026-05-30T14:52:49Z</dcterms:created>
  <dcterms:modified xsi:type="dcterms:W3CDTF">2026-05-30T14:52:49Z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