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hteopskths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hteopskths</w:t>
      </w:r>
    </w:p>
    <w:p>
      <w:pPr>
        <w:pStyle w:val="BodyText"/>
      </w:pPr>
      <w:r>
        <w:t xml:space="preserve">**Company Name:** qxuqetgyvj</w:t>
      </w:r>
    </w:p>
    <w:p>
      <w:pPr>
        <w:pStyle w:val="BodyText"/>
      </w:pPr>
      <w:r>
        <w:t xml:space="preserve">**Accounting Standard:** GHG Protocol</w:t>
      </w:r>
    </w:p>
    <w:p>
      <w:pPr>
        <w:pStyle w:val="BodyText"/>
      </w:pPr>
      <w:r>
        <w:t xml:space="preserve">**Senior Sustainability Consultant:** dhmyqktulr</w:t>
      </w:r>
    </w:p>
    <w:p>
      <w:pPr>
        <w:pStyle w:val="BodyText"/>
      </w:pPr>
      <w:r>
        <w:t xml:space="preserve">This report is generated based on available data and industry standards. While every effort has been made to ensure accuracy, actual emissions may vary based on real-world conditions and specific supplier data.</w:t>
      </w:r>
    </w:p>
    <w:bookmarkEnd w:id="20"/>
    <w:bookmarkStart w:id="49" w:name="Xa99b6f24a504c9438bdb7b25c880a9ec227eb45"/>
    <w:p>
      <w:pPr>
        <w:pStyle w:val="Heading1"/>
      </w:pPr>
      <w:r>
        <w:t xml:space="preserve">Product Carbon Footprint (PCF) Analysis Report for hteopskths</w:t>
      </w:r>
    </w:p>
    <w:p>
      <w:pPr>
        <w:pStyle w:val="FirstParagraph"/>
      </w:pPr>
      <w:r>
        <w:t xml:space="preserve">Generated Date: 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"hteopskths" manufactured by "qxuqetgyvj". The analysis was conducted by Senior Sustainability Consultant dhmyqktulr, adhering strictly to the GHG Protocol accounting standard, including the 2026 Land Sector and Removals (LSR) update and ensuring at least 95% Scope 3 coverage. The primary objective is to quantify the greenhouse gas (GHG) emissions across the product\'s lifecycle, from raw material extraction to end-of-life, identify emission hotspots, and provide insights for decarbonization. This analysis serves as a foundational step for qxuqetgyvj to understand and manage its environmental impact effectively.</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hteopskths</w:t>
      </w:r>
      <w:r>
        <w:t xml:space="preserve">.</w:t>
      </w:r>
    </w:p>
    <w:bookmarkEnd w:id="22"/>
    <w:bookmarkStart w:id="23" w:name="system-boundary"/>
    <w:p>
      <w:pPr>
        <w:pStyle w:val="Heading3"/>
      </w:pPr>
      <w:r>
        <w:t xml:space="preserve">System Boundary</w:t>
      </w:r>
    </w:p>
    <w:p>
      <w:pPr>
        <w:pStyle w:val="FirstParagraph"/>
      </w:pPr>
      <w:r>
        <w:t xml:space="preserve">The system boundary for this assessment is</w:t>
      </w:r>
      <w:r>
        <w:t xml:space="preserve"> </w:t>
      </w:r>
      <w:r>
        <w:rPr>
          <w:bCs/>
          <w:b/>
        </w:rPr>
        <w:t xml:space="preserve">factory_gate</w:t>
      </w:r>
      <w:r>
        <w:t xml:space="preserve">, encompassing all processes from raw material acquisition, manufacturing (up to the point the product leaves the factory gate), and downstream elements including transport to customer, use phase, and end-of-life treatment. This cradle-to-grave approach provides a comprehensive view of the product\'s environmental impact.</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Accounting Standard</w:t>
      </w:r>
    </w:p>
    <w:p>
      <w:pPr>
        <w:pStyle w:val="FirstParagraph"/>
      </w:pPr>
      <w:r>
        <w:t xml:space="preserve">This PCF analysis is conducted in accordance with the</w:t>
      </w:r>
      <w:r>
        <w:t xml:space="preserve"> </w:t>
      </w:r>
      <w:r>
        <w:rPr>
          <w:bCs/>
          <w:b/>
        </w:rPr>
        <w:t xml:space="preserve">GHG Protocol</w:t>
      </w:r>
      <w:r>
        <w:t xml:space="preserve"> </w:t>
      </w:r>
      <w:r>
        <w:t xml:space="preserve">Product Standard. Emissions are categorized into Scope 1 (direct emissions from owned or controlled sources), Scope 2 (indirect emissions from the generation of purchased energy), and Scope 3 (all other indirect emissions that occur in a company\'s value chain, both upstream and downstream). The analysis also incorporates the principles of the 2026 Land Sector and Removals (LSR) Standard for land use and carbon removals, and ensures at least 95% coverage for Scope 3 reporting as per 2026 requirements.</w:t>
      </w:r>
    </w:p>
    <w:bookmarkEnd w:id="25"/>
    <w:bookmarkStart w:id="26" w:name="allocation"/>
    <w:p>
      <w:pPr>
        <w:pStyle w:val="Heading3"/>
      </w:pPr>
      <w:r>
        <w:t xml:space="preserve">Allocation</w:t>
      </w:r>
    </w:p>
    <w:p>
      <w:pPr>
        <w:pStyle w:val="FirstParagraph"/>
      </w:pPr>
      <w:r>
        <w:t xml:space="preserve">Emissions from multi-output processes have been allocated using a mass-based approach where appropriate, ensuring that the environmental burden is distributed proportionally to the mass of each co-product or by-product. Credits for end-of-life recycling are applied based on avoided emissions from virgin material production.</w:t>
      </w:r>
    </w:p>
    <w:p>
      <w:r>
        <w:pict>
          <v:rect style="width:0;height:1.5pt" o:hralign="center" o:hrstd="t" o:hr="t"/>
        </w:pict>
      </w:r>
    </w:p>
    <w:bookmarkEnd w:id="26"/>
    <w:bookmarkEnd w:id="27"/>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The lifecycle of hteopskths is mapped across several stages, and data is collected from the provided parameters. Due to the placeholder nature of some input parameters (e.g., `oxqnmvvq`, `hkldnwqvdm`), illustrative data derived from industry averages and standard emission factors (Ecoinvent/DEFRA) are used to demonstrate the calculation methodology. It is crucial for qxuqetgyvj to replace these illustrative values with actual primary data for precise reporting.</w:t>
      </w:r>
    </w:p>
    <w:bookmarkStart w:id="28" w:name="X9c6b924ecf927a9d4d9eaa0bb37ea6ecde97a6d"/>
    <w:p>
      <w:pPr>
        <w:pStyle w:val="Heading3"/>
      </w:pPr>
      <w:r>
        <w:t xml:space="preserve">Materials and Components (Upstream - Scope 3)</w:t>
      </w:r>
    </w:p>
    <w:p>
      <w:pPr>
        <w:pStyle w:val="FirstParagraph"/>
      </w:pPr>
      <w:r>
        <w:t xml:space="preserve">The Detailed Bill of Materials (BOM) for hteopskths is presented below. Each item includes its individual contribution to the total carbon footprint, which is directly used in the calculations as specified.</w:t>
      </w:r>
    </w:p>
    <w:p>
      <w:pPr>
        <w:pStyle w:val="BodyText"/>
      </w:pPr>
      <w:r>
        <w:rPr>
          <w:bCs/>
          <w:b/>
        </w:rPr>
        <w:t xml:space="preserve">Detailed Bill of Materials (BOM) Data (Illustrative based on oxqnmvvq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5.0</w:t>
            </w:r>
          </w:p>
        </w:tc>
        <w:tc>
          <w:tcPr/>
          <w:p>
            <w:pPr>
              <w:pStyle w:val="Compact"/>
              <w:jc w:val="left"/>
            </w:pPr>
            <w:r>
              <w:t xml:space="preserve">kg</w:t>
            </w:r>
          </w:p>
        </w:tc>
        <w:tc>
          <w:tcPr/>
          <w:p>
            <w:pPr>
              <w:pStyle w:val="Compact"/>
              <w:jc w:val="left"/>
            </w:pPr>
            <w:r>
              <w:t xml:space="preserve">2.2</w:t>
            </w:r>
          </w:p>
        </w:tc>
        <w:tc>
          <w:tcPr/>
          <w:p>
            <w:pPr>
              <w:pStyle w:val="Compact"/>
              <w:jc w:val="left"/>
            </w:pPr>
            <w:r>
              <w:t xml:space="preserve">11.0</w:t>
            </w:r>
          </w:p>
        </w:tc>
      </w:tr>
      <w:tr>
        <w:tc>
          <w:tcPr/>
          <w:p>
            <w:pPr>
              <w:pStyle w:val="Compact"/>
              <w:jc w:val="left"/>
            </w:pPr>
            <w:r>
              <w:t xml:space="preserve">1002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3.0</w:t>
            </w:r>
          </w:p>
        </w:tc>
        <w:tc>
          <w:tcPr/>
          <w:p>
            <w:pPr>
              <w:pStyle w:val="Compact"/>
              <w:jc w:val="left"/>
            </w:pPr>
            <w:r>
              <w:t xml:space="preserve">4.5</w:t>
            </w:r>
          </w:p>
        </w:tc>
      </w:tr>
      <w:tr>
        <w:tc>
          <w:tcPr/>
          <w:p>
            <w:pPr>
              <w:pStyle w:val="Compact"/>
              <w:jc w:val="left"/>
            </w:pPr>
            <w:r>
              <w:t xml:space="preserve">1003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1004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0.75</w:t>
            </w:r>
          </w:p>
        </w:tc>
      </w:tr>
    </w:tbl>
    <w:p>
      <w:pPr>
        <w:pStyle w:val="BodyText"/>
      </w:pPr>
      <w:r>
        <w:rPr>
          <w:bCs/>
          <w:b/>
        </w:rPr>
        <w:t xml:space="preserve">Total Product Weight (from BOM):</w:t>
      </w:r>
      <w:r>
        <w:t xml:space="preserve"> </w:t>
      </w:r>
      <w:r>
        <w:t xml:space="preserve">7.2 kg</w:t>
      </w:r>
    </w:p>
    <w:bookmarkEnd w:id="28"/>
    <w:bookmarkStart w:id="29" w:name="production-phase-operational---scope-1-2"/>
    <w:p>
      <w:pPr>
        <w:pStyle w:val="Heading3"/>
      </w:pPr>
      <w:r>
        <w:t xml:space="preserve">Production Phase (Operational - Scope 1 &amp; 2)</w:t>
      </w:r>
    </w:p>
    <w:p>
      <w:pPr>
        <w:numPr>
          <w:ilvl w:val="0"/>
          <w:numId w:val="1002"/>
        </w:numPr>
        <w:pStyle w:val="Compact"/>
      </w:pPr>
      <w:r>
        <w:rPr>
          <w:bCs/>
          <w:b/>
        </w:rPr>
        <w:t xml:space="preserve">Renewable Energy Usage:</w:t>
      </w:r>
      <w:r>
        <w:t xml:space="preserve"> </w:t>
      </w:r>
      <w:r>
        <w:t xml:space="preserve">nxfjtiykrs (Illustrative: 30%)</w:t>
      </w:r>
    </w:p>
    <w:p>
      <w:pPr>
        <w:numPr>
          <w:ilvl w:val="0"/>
          <w:numId w:val="1002"/>
        </w:numPr>
        <w:pStyle w:val="Compact"/>
      </w:pPr>
      <w:r>
        <w:rPr>
          <w:bCs/>
          <w:b/>
        </w:rPr>
        <w:t xml:space="preserve">Energy Intensity (kWh/unit):</w:t>
      </w:r>
      <w:r>
        <w:t xml:space="preserve"> </w:t>
      </w:r>
      <w:r>
        <w:t xml:space="preserve">uophvrleop (Illustrative: 20 kWh/unit)</w:t>
      </w:r>
    </w:p>
    <w:p>
      <w:pPr>
        <w:numPr>
          <w:ilvl w:val="0"/>
          <w:numId w:val="1002"/>
        </w:numPr>
        <w:pStyle w:val="Compact"/>
      </w:pPr>
      <w:r>
        <w:rPr>
          <w:bCs/>
          <w:b/>
        </w:rPr>
        <w:t xml:space="preserve">Grid Electricity Emission Factor (China):</w:t>
      </w:r>
      <w:r>
        <w:t xml:space="preserve"> </w:t>
      </w:r>
      <w:r>
        <w:t xml:space="preserve">~0.57 kg CO2e/kWh (Based on recent data from IEA and MEE for China, 2021-2023)</w:t>
      </w:r>
    </w:p>
    <w:p>
      <w:pPr>
        <w:numPr>
          <w:ilvl w:val="0"/>
          <w:numId w:val="1002"/>
        </w:numPr>
        <w:pStyle w:val="Compact"/>
      </w:pPr>
      <w:r>
        <w:rPr>
          <w:bCs/>
          <w:b/>
        </w:rPr>
        <w:t xml:space="preserve">Direct Emissions (Scope 1):</w:t>
      </w:r>
      <w:r>
        <w:t xml:space="preserve"> </w:t>
      </w:r>
      <w:r>
        <w:t xml:space="preserve">Assumed negligible unless specific fuel consumption data is provided.</w:t>
      </w:r>
    </w:p>
    <w:bookmarkEnd w:id="29"/>
    <w:bookmarkStart w:id="30" w:name="transport-upstream---scope-3"/>
    <w:p>
      <w:pPr>
        <w:pStyle w:val="Heading3"/>
      </w:pPr>
      <w:r>
        <w:t xml:space="preserve">Transport (Upstream - Scope 3)</w:t>
      </w:r>
    </w:p>
    <w:p>
      <w:pPr>
        <w:numPr>
          <w:ilvl w:val="0"/>
          <w:numId w:val="1003"/>
        </w:numPr>
        <w:pStyle w:val="Compact"/>
      </w:pPr>
      <w:r>
        <w:rPr>
          <w:bCs/>
          <w:b/>
        </w:rPr>
        <w:t xml:space="preserve">Transport Mode:</w:t>
      </w:r>
      <w:r>
        <w:t xml:space="preserve"> </w:t>
      </w:r>
      <w:r>
        <w:t xml:space="preserve">Select Mode (Illustrative: Ocean Freight, then Road Freight)</w:t>
      </w:r>
    </w:p>
    <w:p>
      <w:pPr>
        <w:numPr>
          <w:ilvl w:val="0"/>
          <w:numId w:val="1003"/>
        </w:numPr>
        <w:pStyle w:val="Compact"/>
      </w:pPr>
      <w:r>
        <w:rPr>
          <w:bCs/>
          <w:b/>
        </w:rPr>
        <w:t xml:space="preserve">Transport Distance:</w:t>
      </w:r>
      <w:r>
        <w:t xml:space="preserve"> </w:t>
      </w:r>
      <w:r>
        <w:t xml:space="preserve">hkldnwqvdm (Illustrative: 2500 km for primary transport from China to Europe)</w:t>
      </w:r>
    </w:p>
    <w:p>
      <w:pPr>
        <w:numPr>
          <w:ilvl w:val="0"/>
          <w:numId w:val="1003"/>
        </w:numPr>
        <w:pStyle w:val="Compact"/>
      </w:pPr>
      <w:r>
        <w:rPr>
          <w:bCs/>
          <w:b/>
        </w:rPr>
        <w:t xml:space="preserve">Ocean Freight Emission Factor:</w:t>
      </w:r>
      <w:r>
        <w:t xml:space="preserve"> </w:t>
      </w:r>
      <w:r>
        <w:t xml:space="preserve">~0.016 kg CO2e/tkm (Based on BEIS/DEFRA factors)</w:t>
      </w:r>
    </w:p>
    <w:p>
      <w:pPr>
        <w:numPr>
          <w:ilvl w:val="0"/>
          <w:numId w:val="1003"/>
        </w:numPr>
        <w:pStyle w:val="Compact"/>
      </w:pPr>
      <w:r>
        <w:rPr>
          <w:bCs/>
          <w:b/>
        </w:rPr>
        <w:t xml:space="preserve">Road Freight (Heavy Duty Truck) Emission Factor:</w:t>
      </w:r>
      <w:r>
        <w:t xml:space="preserve"> </w:t>
      </w:r>
      <w:r>
        <w:t xml:space="preserve">~0.08 kg CO2e/tkm (Illustrative, based on general industry factors)</w:t>
      </w:r>
    </w:p>
    <w:bookmarkEnd w:id="30"/>
    <w:bookmarkStart w:id="31" w:name="last-mile-delivery-downstream---scope-3"/>
    <w:p>
      <w:pPr>
        <w:pStyle w:val="Heading3"/>
      </w:pPr>
      <w:r>
        <w:t xml:space="preserve">Last-Mile Delivery (Downstream - Scope 3)</w:t>
      </w:r>
    </w:p>
    <w:p>
      <w:pPr>
        <w:numPr>
          <w:ilvl w:val="0"/>
          <w:numId w:val="1004"/>
        </w:numPr>
        <w:pStyle w:val="Compact"/>
      </w:pPr>
      <w:r>
        <w:rPr>
          <w:bCs/>
          <w:b/>
        </w:rPr>
        <w:t xml:space="preserve">Last-Mile Delivery Channel:</w:t>
      </w:r>
      <w:r>
        <w:t xml:space="preserve"> </w:t>
      </w:r>
      <w:r>
        <w:t xml:space="preserve">Delivery Type (Illustrative: Road Freight - Vans)</w:t>
      </w:r>
    </w:p>
    <w:p>
      <w:pPr>
        <w:numPr>
          <w:ilvl w:val="0"/>
          <w:numId w:val="1004"/>
        </w:numPr>
        <w:pStyle w:val="Compact"/>
      </w:pPr>
      <w:r>
        <w:rPr>
          <w:bCs/>
          <w:b/>
        </w:rPr>
        <w:t xml:space="preserve">Last-Mile Delivery Emission Factor:</w:t>
      </w:r>
      <w:r>
        <w:t xml:space="preserve"> </w:t>
      </w:r>
      <w:r>
        <w:t xml:space="preserve">Illustrative: 1.0 kg CO2e/unit (This factor is highly variable and would require specific data on vehicle type, load factor, and distance for accurate calculation.)</w:t>
      </w:r>
    </w:p>
    <w:bookmarkEnd w:id="31"/>
    <w:bookmarkStart w:id="32" w:name="use-phase-downstream---scope-3"/>
    <w:p>
      <w:pPr>
        <w:pStyle w:val="Heading3"/>
      </w:pPr>
      <w:r>
        <w:t xml:space="preserve">Use Phase (Downstream - Scope 3)</w:t>
      </w:r>
    </w:p>
    <w:p>
      <w:pPr>
        <w:numPr>
          <w:ilvl w:val="0"/>
          <w:numId w:val="1005"/>
        </w:numPr>
        <w:pStyle w:val="Compact"/>
      </w:pPr>
      <w:r>
        <w:rPr>
          <w:bCs/>
          <w:b/>
        </w:rPr>
        <w:t xml:space="preserve">Product Lifespan:</w:t>
      </w:r>
      <w:r>
        <w:t xml:space="preserve"> </w:t>
      </w:r>
      <w:r>
        <w:t xml:space="preserve">fosvntwhdq (Illustrative: 5 years)</w:t>
      </w:r>
    </w:p>
    <w:p>
      <w:pPr>
        <w:numPr>
          <w:ilvl w:val="0"/>
          <w:numId w:val="1005"/>
        </w:numPr>
        <w:pStyle w:val="Compact"/>
      </w:pPr>
      <w:r>
        <w:rPr>
          <w:bCs/>
          <w:b/>
        </w:rPr>
        <w:t xml:space="preserve">Energy Consumption in Use:</w:t>
      </w:r>
      <w:r>
        <w:t xml:space="preserve"> </w:t>
      </w:r>
      <w:r>
        <w:t xml:space="preserve">rqwqwiwgup (Illustrative: 10 kWh/year)</w:t>
      </w:r>
    </w:p>
    <w:p>
      <w:pPr>
        <w:numPr>
          <w:ilvl w:val="0"/>
          <w:numId w:val="1005"/>
        </w:numPr>
        <w:pStyle w:val="Compact"/>
      </w:pPr>
      <w:r>
        <w:rPr>
          <w:bCs/>
          <w:b/>
        </w:rPr>
        <w:t xml:space="preserve">Grid Electricity Emission Factor (Europe):</w:t>
      </w:r>
      <w:r>
        <w:t xml:space="preserve"> </w:t>
      </w:r>
      <w:r>
        <w:t xml:space="preserve">~0.27 kg CO2e/kWh (Based on recent average for EU-27)</w:t>
      </w:r>
    </w:p>
    <w:bookmarkEnd w:id="32"/>
    <w:bookmarkStart w:id="33" w:name="Xbd5ce2581a055ba0d05236edb0e67e8783fa2ac"/>
    <w:p>
      <w:pPr>
        <w:pStyle w:val="Heading3"/>
      </w:pPr>
      <w:r>
        <w:t xml:space="preserve">End-of-Life (EoL) Scenarios (Downstream - Scope 3)</w:t>
      </w:r>
    </w:p>
    <w:p>
      <w:pPr>
        <w:numPr>
          <w:ilvl w:val="0"/>
          <w:numId w:val="1006"/>
        </w:numPr>
        <w:pStyle w:val="Compact"/>
      </w:pPr>
      <w:r>
        <w:rPr>
          <w:bCs/>
          <w:b/>
        </w:rPr>
        <w:t xml:space="preserve">Recyclability Percentage:</w:t>
      </w:r>
      <w:r>
        <w:t xml:space="preserve"> </w:t>
      </w:r>
      <w:r>
        <w:t xml:space="preserve">rpdqqehreq (Illustrative: 70%)</w:t>
      </w:r>
    </w:p>
    <w:p>
      <w:pPr>
        <w:numPr>
          <w:ilvl w:val="0"/>
          <w:numId w:val="1006"/>
        </w:numPr>
        <w:pStyle w:val="Compact"/>
      </w:pPr>
      <w:r>
        <w:rPr>
          <w:bCs/>
          <w:b/>
        </w:rPr>
        <w:t xml:space="preserve">Circular/Take-back Programs:</w:t>
      </w:r>
      <w:r>
        <w:t xml:space="preserve"> </w:t>
      </w:r>
      <w:r>
        <w:t xml:space="preserve">unzintfjtn (Illustrative: Yes, Material Recovery Program)</w:t>
      </w:r>
    </w:p>
    <w:p>
      <w:pPr>
        <w:numPr>
          <w:ilvl w:val="0"/>
          <w:numId w:val="1006"/>
        </w:numPr>
        <w:pStyle w:val="Compact"/>
      </w:pPr>
      <w:r>
        <w:rPr>
          <w:bCs/>
          <w:b/>
        </w:rPr>
        <w:t xml:space="preserve">Landfill Emission Factor (Mixed Waste):</w:t>
      </w:r>
      <w:r>
        <w:t xml:space="preserve"> </w:t>
      </w:r>
      <w:r>
        <w:t xml:space="preserve">~0.3 kg CO2e/kg (Illustrative, varies by composition and landfill type)</w:t>
      </w:r>
    </w:p>
    <w:p>
      <w:pPr>
        <w:numPr>
          <w:ilvl w:val="0"/>
          <w:numId w:val="1006"/>
        </w:numPr>
        <w:pStyle w:val="Compact"/>
      </w:pPr>
      <w:r>
        <w:rPr>
          <w:bCs/>
          <w:b/>
        </w:rPr>
        <w:t xml:space="preserve">Incineration Emission Factor (Mixed Waste, Fossil fraction):</w:t>
      </w:r>
      <w:r>
        <w:t xml:space="preserve"> </w:t>
      </w:r>
      <w:r>
        <w:t xml:space="preserve">~0.8 kg CO2e/kg (Illustrative, based on fossil carbon content)</w:t>
      </w:r>
    </w:p>
    <w:p>
      <w:pPr>
        <w:numPr>
          <w:ilvl w:val="0"/>
          <w:numId w:val="1006"/>
        </w:numPr>
        <w:pStyle w:val="Compact"/>
      </w:pPr>
      <w:r>
        <w:rPr>
          <w:bCs/>
          <w:b/>
        </w:rPr>
        <w:t xml:space="preserve">Recycling Credit (Illustrative, averaged avoided emissions):</w:t>
      </w:r>
      <w:r>
        <w:t xml:space="preserve"> </w:t>
      </w:r>
      <w:r>
        <w:t xml:space="preserve">-1.0 kg CO2e/kg (Varies significantly by material and specific recycling process, representing avoided virgin material production)</w:t>
      </w:r>
    </w:p>
    <w:p>
      <w:r>
        <w:pict>
          <v:rect style="width:0;height:1.5pt" o:hralign="center" o:hrstd="t" o:hr="t"/>
        </w:pict>
      </w:r>
    </w:p>
    <w:bookmarkEnd w:id="33"/>
    <w:bookmarkEnd w:id="34"/>
    <w:bookmarkStart w:id="44" w:name="calculate-emissions"/>
    <w:p>
      <w:pPr>
        <w:pStyle w:val="Heading2"/>
      </w:pPr>
      <w:r>
        <w:t xml:space="preserve">4. Calculate Emissions</w:t>
      </w:r>
    </w:p>
    <w:p>
      <w:pPr>
        <w:pStyle w:val="FirstParagraph"/>
      </w:pPr>
      <w:r>
        <w:t xml:space="preserve">Emissions are calculated based on the collected data and categorized according to the GHG Protocol. All calculations presented use the illustrative values outlined in Section 3 and should be updated with primary data for actual reporting.</w:t>
      </w:r>
    </w:p>
    <w:bookmarkStart w:id="35" w:name="X1cc532f3372addc38ed8cd117422a1977cd4f0f"/>
    <w:p>
      <w:pPr>
        <w:pStyle w:val="Heading3"/>
      </w:pPr>
      <w:r>
        <w:t xml:space="preserve">Calculation Assumptions and Emission Factors Used (Illustrative)</w:t>
      </w:r>
    </w:p>
    <w:p>
      <w:pPr>
        <w:numPr>
          <w:ilvl w:val="0"/>
          <w:numId w:val="1007"/>
        </w:numPr>
        <w:pStyle w:val="Compact"/>
      </w:pPr>
      <w:r>
        <w:rPr>
          <w:bCs/>
          <w:b/>
        </w:rPr>
        <w:t xml:space="preserve">Steel:</w:t>
      </w:r>
      <w:r>
        <w:t xml:space="preserve"> </w:t>
      </w:r>
      <w:r>
        <w:t xml:space="preserve">2.2 kg CO2e/kg (provided in BOM, aligns with some sources)</w:t>
      </w:r>
    </w:p>
    <w:p>
      <w:pPr>
        <w:numPr>
          <w:ilvl w:val="0"/>
          <w:numId w:val="1007"/>
        </w:numPr>
        <w:pStyle w:val="Compact"/>
      </w:pPr>
      <w:r>
        <w:rPr>
          <w:bCs/>
          <w:b/>
        </w:rPr>
        <w:t xml:space="preserve">Plastic (Molding):</w:t>
      </w:r>
      <w:r>
        <w:t xml:space="preserve"> </w:t>
      </w:r>
      <w:r>
        <w:t xml:space="preserve">3.0 kg CO2e/kg (provided in BOM, indicative of energy-intensive processes)</w:t>
      </w:r>
    </w:p>
    <w:p>
      <w:pPr>
        <w:numPr>
          <w:ilvl w:val="0"/>
          <w:numId w:val="1007"/>
        </w:numPr>
        <w:pStyle w:val="Compact"/>
      </w:pPr>
      <w:r>
        <w:rPr>
          <w:bCs/>
          <w:b/>
        </w:rPr>
        <w:t xml:space="preserve">Electronics:</w:t>
      </w:r>
      <w:r>
        <w:t xml:space="preserve"> </w:t>
      </w:r>
      <w:r>
        <w:t xml:space="preserve">50.0 kg CO2e/kg (provided in BOM, reflects high impact of complex components)</w:t>
      </w:r>
    </w:p>
    <w:p>
      <w:pPr>
        <w:numPr>
          <w:ilvl w:val="0"/>
          <w:numId w:val="1007"/>
        </w:numPr>
        <w:pStyle w:val="Compact"/>
      </w:pPr>
      <w:r>
        <w:rPr>
          <w:bCs/>
          <w:b/>
        </w:rPr>
        <w:t xml:space="preserve">Paper/Cardboard:</w:t>
      </w:r>
      <w:r>
        <w:t xml:space="preserve"> </w:t>
      </w:r>
      <w:r>
        <w:t xml:space="preserve">1.5 kg CO2e/kg (provided in BOM)</w:t>
      </w:r>
    </w:p>
    <w:p>
      <w:pPr>
        <w:numPr>
          <w:ilvl w:val="0"/>
          <w:numId w:val="1007"/>
        </w:numPr>
        <w:pStyle w:val="Compact"/>
      </w:pPr>
      <w:r>
        <w:rPr>
          <w:bCs/>
          <w:b/>
        </w:rPr>
        <w:t xml:space="preserve">Electricity (China Grid Average):</w:t>
      </w:r>
      <w:r>
        <w:t xml:space="preserve"> </w:t>
      </w:r>
      <w:r>
        <w:t xml:space="preserve">0.57 kg CO2e/kWh (Based on IEA/MEE data for 2021-2023)</w:t>
      </w:r>
    </w:p>
    <w:p>
      <w:pPr>
        <w:numPr>
          <w:ilvl w:val="0"/>
          <w:numId w:val="1007"/>
        </w:numPr>
        <w:pStyle w:val="Compact"/>
      </w:pPr>
      <w:r>
        <w:rPr>
          <w:bCs/>
          <w:b/>
        </w:rPr>
        <w:t xml:space="preserve">Electricity (Europe Grid Average):</w:t>
      </w:r>
      <w:r>
        <w:t xml:space="preserve"> </w:t>
      </w:r>
      <w:r>
        <w:t xml:space="preserve">0.27 kg CO2e/kWh (PwC reported 0.211 kg CO2/kWh in 2023, and 0.181 kg CO2/MWh in 2024. Climatiq provided 0.238 kg CO2e/kWh for EU in 2019)</w:t>
      </w:r>
    </w:p>
    <w:p>
      <w:pPr>
        <w:numPr>
          <w:ilvl w:val="0"/>
          <w:numId w:val="1007"/>
        </w:numPr>
        <w:pStyle w:val="Compact"/>
      </w:pPr>
      <w:r>
        <w:rPr>
          <w:bCs/>
          <w:b/>
        </w:rPr>
        <w:t xml:space="preserve">Ocean Freight:</w:t>
      </w:r>
      <w:r>
        <w:t xml:space="preserve"> </w:t>
      </w:r>
      <w:r>
        <w:t xml:space="preserve">0.016 kg CO2e/tkm (DEFRA 2021)</w:t>
      </w:r>
    </w:p>
    <w:p>
      <w:pPr>
        <w:numPr>
          <w:ilvl w:val="0"/>
          <w:numId w:val="1007"/>
        </w:numPr>
        <w:pStyle w:val="Compact"/>
      </w:pPr>
      <w:r>
        <w:rPr>
          <w:bCs/>
          <w:b/>
        </w:rPr>
        <w:t xml:space="preserve">Road Freight (Heavy Duty):</w:t>
      </w:r>
      <w:r>
        <w:t xml:space="preserve"> </w:t>
      </w:r>
      <w:r>
        <w:t xml:space="preserve">0.08 kg CO2e/tkm (Illustrative, DEFRA or GLEC factors are often around 0.08-0.1 kg CO2e/tkm or higher for heavy trucks)</w:t>
      </w:r>
    </w:p>
    <w:p>
      <w:pPr>
        <w:numPr>
          <w:ilvl w:val="0"/>
          <w:numId w:val="1007"/>
        </w:numPr>
        <w:pStyle w:val="Compact"/>
      </w:pPr>
      <w:r>
        <w:rPr>
          <w:bCs/>
          <w:b/>
        </w:rPr>
        <w:t xml:space="preserve">Landfill (Mixed Waste):</w:t>
      </w:r>
      <w:r>
        <w:t xml:space="preserve"> </w:t>
      </w:r>
      <w:r>
        <w:t xml:space="preserve">0.3 kg CO2e/kg (EPA estimates plastics 1.0-1.5 tCO2e/ton, metals &lt;0.1 tCO2e/ton, organics 0.5-0.75 tCO2e/ton; general mixed waste factors can range from 60 to 300 kg CO2e/tonne)</w:t>
      </w:r>
    </w:p>
    <w:p>
      <w:pPr>
        <w:numPr>
          <w:ilvl w:val="0"/>
          <w:numId w:val="1007"/>
        </w:numPr>
        <w:pStyle w:val="Compact"/>
      </w:pPr>
      <w:r>
        <w:rPr>
          <w:bCs/>
          <w:b/>
        </w:rPr>
        <w:t xml:space="preserve">Incineration (Mixed Waste):</w:t>
      </w:r>
      <w:r>
        <w:t xml:space="preserve"> </w:t>
      </w:r>
      <w:r>
        <w:t xml:space="preserve">0.8 kg CO2e/kg (IPCC indicates 0.7 to 1.2 Mg CO2 per Mg of municipal waste, with 33-50% fossil carbon. My illustrative value considers the fossil fraction.)</w:t>
      </w:r>
    </w:p>
    <w:p>
      <w:pPr>
        <w:numPr>
          <w:ilvl w:val="0"/>
          <w:numId w:val="1007"/>
        </w:numPr>
        <w:pStyle w:val="Compact"/>
      </w:pPr>
      <w:r>
        <w:rPr>
          <w:bCs/>
          <w:b/>
        </w:rPr>
        <w:t xml:space="preserve">Recycling Credit:</w:t>
      </w:r>
      <w:r>
        <w:t xml:space="preserve"> </w:t>
      </w:r>
      <w:r>
        <w:t xml:space="preserve">-1.0 kg CO2e/kg (Highly variable, depends on material and virgin alternative. Steel recycling can save up to 1.787 tonnes of CO2 per tonne, plastics can save 0.82 kg CO2 eq/kg or 620 kg CO2 eq/ton)</w:t>
      </w:r>
    </w:p>
    <w:bookmarkEnd w:id="35"/>
    <w:bookmarkStart w:id="42" w:name="X2186ef0f97250bcef1d8ba7eff57b340cd065cd"/>
    <w:p>
      <w:pPr>
        <w:pStyle w:val="Heading3"/>
      </w:pPr>
      <w:r>
        <w:t xml:space="preserve">Emission Breakdown by Lifecycle Stage and GHG Scope</w:t>
      </w:r>
    </w:p>
    <w:bookmarkStart w:id="36" w:name="Xc468ded5a7fa091b9c9a81ca7124d562fc085dd"/>
    <w:p>
      <w:pPr>
        <w:pStyle w:val="Heading4"/>
      </w:pPr>
      <w:r>
        <w:t xml:space="preserve">1. Materials Acquisition &amp; Pre-processing (Upstream - Scope 3)</w:t>
      </w:r>
    </w:p>
    <w:p>
      <w:pPr>
        <w:pStyle w:val="FirstParagraph"/>
      </w:pPr>
      <w:r>
        <w:t xml:space="preserve">Based on the provided BOM, the \'Total Carbon\' values are summed directly.</w:t>
      </w:r>
    </w:p>
    <w:p>
      <w:pPr>
        <w:numPr>
          <w:ilvl w:val="0"/>
          <w:numId w:val="1008"/>
        </w:numPr>
        <w:pStyle w:val="Compact"/>
      </w:pPr>
      <w:r>
        <w:t xml:space="preserve">Steel Frame: 11.0 kg CO2e</w:t>
      </w:r>
    </w:p>
    <w:p>
      <w:pPr>
        <w:numPr>
          <w:ilvl w:val="0"/>
          <w:numId w:val="1008"/>
        </w:numPr>
        <w:pStyle w:val="Compact"/>
      </w:pPr>
      <w:r>
        <w:t xml:space="preserve">Plastic Enclosure: 4.5 kg CO2e</w:t>
      </w:r>
    </w:p>
    <w:p>
      <w:pPr>
        <w:numPr>
          <w:ilvl w:val="0"/>
          <w:numId w:val="1008"/>
        </w:numPr>
        <w:pStyle w:val="Compact"/>
      </w:pPr>
      <w:r>
        <w:t xml:space="preserve">Electronic Board: 10.0 kg CO2e</w:t>
      </w:r>
    </w:p>
    <w:p>
      <w:pPr>
        <w:numPr>
          <w:ilvl w:val="0"/>
          <w:numId w:val="1008"/>
        </w:numPr>
        <w:pStyle w:val="Compact"/>
      </w:pPr>
      <w:r>
        <w:t xml:space="preserve">Packaging Cardboard: 0.75 kg CO2e</w:t>
      </w:r>
    </w:p>
    <w:p>
      <w:pPr>
        <w:numPr>
          <w:ilvl w:val="0"/>
          <w:numId w:val="1008"/>
        </w:numPr>
        <w:pStyle w:val="Compact"/>
      </w:pPr>
      <w:r>
        <w:rPr>
          <w:bCs/>
          <w:b/>
        </w:rPr>
        <w:t xml:space="preserve">Total Material Emissions: 26.25 kg CO2e</w:t>
      </w:r>
    </w:p>
    <w:bookmarkEnd w:id="36"/>
    <w:bookmarkStart w:id="37" w:name="X36d11fca0ac831fa9e76cc82f405f012c8f266b"/>
    <w:p>
      <w:pPr>
        <w:pStyle w:val="Heading4"/>
      </w:pPr>
      <w:r>
        <w:t xml:space="preserve">2. Manufacturing / Production (Operational - Scope 1 &amp; 2)</w:t>
      </w:r>
    </w:p>
    <w:p>
      <w:pPr>
        <w:pStyle w:val="FirstParagraph"/>
      </w:pPr>
      <w:r>
        <w:t xml:space="preserve">Energy Intensity: 20 kWh/unit [cite: uophvrleop parameter]. Renewable Energy Usage: 30% [cite: nxfjtiykrs parameter].</w:t>
      </w:r>
    </w:p>
    <w:p>
      <w:pPr>
        <w:numPr>
          <w:ilvl w:val="0"/>
          <w:numId w:val="1009"/>
        </w:numPr>
        <w:pStyle w:val="Compact"/>
      </w:pPr>
      <w:r>
        <w:t xml:space="preserve">Non-renewable electricity: 20 kWh * (1 - 0.30) = 14 kWh</w:t>
      </w:r>
    </w:p>
    <w:p>
      <w:pPr>
        <w:numPr>
          <w:ilvl w:val="0"/>
          <w:numId w:val="1009"/>
        </w:numPr>
        <w:pStyle w:val="Compact"/>
      </w:pPr>
      <w:r>
        <w:t xml:space="preserve">Emissions (China grid factor): 14 kWh * 0.57 kg CO2e/kWh = 7.98 kg CO2e</w:t>
      </w:r>
    </w:p>
    <w:p>
      <w:pPr>
        <w:numPr>
          <w:ilvl w:val="0"/>
          <w:numId w:val="1009"/>
        </w:numPr>
        <w:pStyle w:val="Compact"/>
      </w:pPr>
      <w:r>
        <w:rPr>
          <w:bCs/>
          <w:b/>
        </w:rPr>
        <w:t xml:space="preserve">Scope 2 Emissions (Purchased Electricity): 7.98 kg CO2e</w:t>
      </w:r>
    </w:p>
    <w:p>
      <w:pPr>
        <w:numPr>
          <w:ilvl w:val="0"/>
          <w:numId w:val="1009"/>
        </w:numPr>
        <w:pStyle w:val="Compact"/>
      </w:pPr>
      <w:r>
        <w:rPr>
          <w:bCs/>
          <w:b/>
        </w:rPr>
        <w:t xml:space="preserve">Scope 1 Emissions (Direct):</w:t>
      </w:r>
      <w:r>
        <w:t xml:space="preserve"> </w:t>
      </w:r>
      <w:r>
        <w:t xml:space="preserve">Assumed 0 kg CO2e (no direct fuel combustion data provided).</w:t>
      </w:r>
    </w:p>
    <w:bookmarkEnd w:id="37"/>
    <w:bookmarkStart w:id="38" w:name="X0097e4f60f8fb337920dfaac1f08b5a86cdd727"/>
    <w:p>
      <w:pPr>
        <w:pStyle w:val="Heading4"/>
      </w:pPr>
      <w:r>
        <w:t xml:space="preserve">3. Upstream Transport (Raw Materials &amp; Components to Factory - Scope 3)</w:t>
      </w:r>
    </w:p>
    <w:p>
      <w:pPr>
        <w:pStyle w:val="FirstParagraph"/>
      </w:pPr>
      <w:r>
        <w:t xml:space="preserve">Product weight for transport calculation: 7.2 kg (0.0072 tonnes).</w:t>
      </w:r>
    </w:p>
    <w:p>
      <w:pPr>
        <w:pStyle w:val="BodyText"/>
      </w:pPr>
      <w:r>
        <w:t xml:space="preserve">Assuming components originate from various global locations and converge in China, then product ships to Europe.</w:t>
      </w:r>
    </w:p>
    <w:p>
      <w:pPr>
        <w:numPr>
          <w:ilvl w:val="0"/>
          <w:numId w:val="1010"/>
        </w:numPr>
        <w:pStyle w:val="Compact"/>
      </w:pPr>
      <w:r>
        <w:t xml:space="preserve">Illustrative distance for primary transport from China to Europe: 2500 km [cite: hkldnwqvdm parameter]</w:t>
      </w:r>
    </w:p>
    <w:p>
      <w:pPr>
        <w:numPr>
          <w:ilvl w:val="0"/>
          <w:numId w:val="1010"/>
        </w:numPr>
        <w:pStyle w:val="Compact"/>
      </w:pPr>
      <w:r>
        <w:t xml:space="preserve">Assuming 80% Ocean Freight (2000 km), 20% Road Freight (500 km)</w:t>
      </w:r>
    </w:p>
    <w:p>
      <w:pPr>
        <w:numPr>
          <w:ilvl w:val="0"/>
          <w:numId w:val="1010"/>
        </w:numPr>
        <w:pStyle w:val="Compact"/>
      </w:pPr>
      <w:r>
        <w:t xml:space="preserve">Ocean Freight Emissions: 0.0072 tonnes * 2000 km * 0.016 kg CO2e/tkm = 0.2304 kg CO2e</w:t>
      </w:r>
    </w:p>
    <w:p>
      <w:pPr>
        <w:numPr>
          <w:ilvl w:val="0"/>
          <w:numId w:val="1010"/>
        </w:numPr>
        <w:pStyle w:val="Compact"/>
      </w:pPr>
      <w:r>
        <w:t xml:space="preserve">Road Freight Emissions: 0.0072 tonnes * 500 km * 0.08 kg CO2e/tkm = 0.288 kg CO2e</w:t>
      </w:r>
    </w:p>
    <w:p>
      <w:pPr>
        <w:numPr>
          <w:ilvl w:val="0"/>
          <w:numId w:val="1010"/>
        </w:numPr>
        <w:pStyle w:val="Compact"/>
      </w:pPr>
      <w:r>
        <w:rPr>
          <w:bCs/>
          <w:b/>
        </w:rPr>
        <w:t xml:space="preserve">Total Upstream Transport Emissions: 0.5184 kg CO2e</w:t>
      </w:r>
    </w:p>
    <w:bookmarkEnd w:id="38"/>
    <w:bookmarkStart w:id="39" w:name="X763f37693e24e1fc6c4d4779f661e1813e42c9a"/>
    <w:p>
      <w:pPr>
        <w:pStyle w:val="Heading4"/>
      </w:pPr>
      <w:r>
        <w:t xml:space="preserve">4. Downstream Transport (Last-Mile Delivery - Scope 3)</w:t>
      </w:r>
    </w:p>
    <w:p>
      <w:pPr>
        <w:pStyle w:val="FirstParagraph"/>
      </w:pPr>
      <w:r>
        <w:t xml:space="preserve">Last-Mile Delivery Channel: Road Freight (Vans) [cite: Delivery Type parameter]</w:t>
      </w:r>
    </w:p>
    <w:p>
      <w:pPr>
        <w:numPr>
          <w:ilvl w:val="0"/>
          <w:numId w:val="1011"/>
        </w:numPr>
        <w:pStyle w:val="Compact"/>
      </w:pPr>
      <w:r>
        <w:t xml:space="preserve">Illustrative Last-Mile Emissions: 1.0 kg CO2e/unit</w:t>
      </w:r>
    </w:p>
    <w:p>
      <w:pPr>
        <w:numPr>
          <w:ilvl w:val="0"/>
          <w:numId w:val="1011"/>
        </w:numPr>
        <w:pStyle w:val="Compact"/>
      </w:pPr>
      <w:r>
        <w:rPr>
          <w:bCs/>
          <w:b/>
        </w:rPr>
        <w:t xml:space="preserve">Total Last-Mile Delivery Emissions: 1.0 kg CO2e</w:t>
      </w:r>
    </w:p>
    <w:bookmarkEnd w:id="39"/>
    <w:bookmarkStart w:id="40" w:name="product-use-phase-downstream---scope-3"/>
    <w:p>
      <w:pPr>
        <w:pStyle w:val="Heading4"/>
      </w:pPr>
      <w:r>
        <w:t xml:space="preserve">5. Product Use Phase (Downstream - Scope 3)</w:t>
      </w:r>
    </w:p>
    <w:p>
      <w:pPr>
        <w:pStyle w:val="FirstParagraph"/>
      </w:pPr>
      <w:r>
        <w:t xml:space="preserve">Product Lifespan: 5 years [cite: fosvntwhdq parameter]. Energy Consumption in Use: 10 kWh/year [cite: rqwqwiwgup parameter].</w:t>
      </w:r>
    </w:p>
    <w:p>
      <w:pPr>
        <w:numPr>
          <w:ilvl w:val="0"/>
          <w:numId w:val="1012"/>
        </w:numPr>
        <w:pStyle w:val="Compact"/>
      </w:pPr>
      <w:r>
        <w:t xml:space="preserve">Total Energy Consumption: 10 kWh/year * 5 years = 50 kWh</w:t>
      </w:r>
    </w:p>
    <w:p>
      <w:pPr>
        <w:numPr>
          <w:ilvl w:val="0"/>
          <w:numId w:val="1012"/>
        </w:numPr>
        <w:pStyle w:val="Compact"/>
      </w:pPr>
      <w:r>
        <w:t xml:space="preserve">Emissions (Europe grid factor for use location): 50 kWh * 0.27 kg CO2e/kWh = 13.5 kg CO2e</w:t>
      </w:r>
    </w:p>
    <w:p>
      <w:pPr>
        <w:numPr>
          <w:ilvl w:val="0"/>
          <w:numId w:val="1012"/>
        </w:numPr>
        <w:pStyle w:val="Compact"/>
      </w:pPr>
      <w:r>
        <w:rPr>
          <w:bCs/>
          <w:b/>
        </w:rPr>
        <w:t xml:space="preserve">Total Use Phase Emissions: 13.5 kg CO2e</w:t>
      </w:r>
    </w:p>
    <w:bookmarkEnd w:id="40"/>
    <w:bookmarkStart w:id="41" w:name="Xa3178291067b17801a9514a396b61d67321e6a2"/>
    <w:p>
      <w:pPr>
        <w:pStyle w:val="Heading4"/>
      </w:pPr>
      <w:r>
        <w:t xml:space="preserve">6. End-of-Life (EoL) Treatment (Downstream - Scope 3)</w:t>
      </w:r>
    </w:p>
    <w:p>
      <w:pPr>
        <w:pStyle w:val="FirstParagraph"/>
      </w:pPr>
      <w:r>
        <w:t xml:space="preserve">Recyclability Percentage: 70% [cite: rpdqqehreq parameter]. Product weight: 7.2 kg.</w:t>
      </w:r>
    </w:p>
    <w:p>
      <w:pPr>
        <w:numPr>
          <w:ilvl w:val="0"/>
          <w:numId w:val="1013"/>
        </w:numPr>
        <w:pStyle w:val="Compact"/>
      </w:pPr>
      <w:r>
        <w:t xml:space="preserve">Recycled Material: 7.2 kg * 0.70 = 5.04 kg</w:t>
      </w:r>
    </w:p>
    <w:p>
      <w:pPr>
        <w:numPr>
          <w:ilvl w:val="0"/>
          <w:numId w:val="1013"/>
        </w:numPr>
        <w:pStyle w:val="Compact"/>
      </w:pPr>
      <w:r>
        <w:t xml:space="preserve">Disposed Material (remaining 30%): 7.2 kg * 0.30 = 2.16 kg</w:t>
      </w:r>
    </w:p>
    <w:p>
      <w:pPr>
        <w:numPr>
          <w:ilvl w:val="0"/>
          <w:numId w:val="1013"/>
        </w:numPr>
        <w:pStyle w:val="Compact"/>
      </w:pPr>
      <w:r>
        <w:t xml:space="preserve">Assuming 50% disposed to Landfill, 50% to Incineration for non-recycled portion:</w:t>
      </w:r>
    </w:p>
    <w:p>
      <w:pPr>
        <w:numPr>
          <w:ilvl w:val="1"/>
          <w:numId w:val="1014"/>
        </w:numPr>
        <w:pStyle w:val="Compact"/>
      </w:pPr>
      <w:r>
        <w:t xml:space="preserve">Landfill: 1.08 kg * 0.3 kg CO2e/kg = 0.324 kg CO2e</w:t>
      </w:r>
    </w:p>
    <w:p>
      <w:pPr>
        <w:numPr>
          <w:ilvl w:val="1"/>
          <w:numId w:val="1014"/>
        </w:numPr>
        <w:pStyle w:val="Compact"/>
      </w:pPr>
      <w:r>
        <w:t xml:space="preserve">Incineration: 1.08 kg * 0.8 kg CO2e/kg = 0.864 kg CO2e</w:t>
      </w:r>
    </w:p>
    <w:p>
      <w:pPr>
        <w:numPr>
          <w:ilvl w:val="0"/>
          <w:numId w:val="1013"/>
        </w:numPr>
        <w:pStyle w:val="Compact"/>
      </w:pPr>
      <w:r>
        <w:t xml:space="preserve">Recycling Credit (Illustrative, for 5.04 kg): 5.04 kg * (-1.0 kg CO2e/kg) = -5.04 kg CO2e</w:t>
      </w:r>
    </w:p>
    <w:p>
      <w:pPr>
        <w:numPr>
          <w:ilvl w:val="0"/>
          <w:numId w:val="1013"/>
        </w:numPr>
        <w:pStyle w:val="Compact"/>
      </w:pPr>
      <w:r>
        <w:rPr>
          <w:bCs/>
          <w:b/>
        </w:rPr>
        <w:t xml:space="preserve">Total End-of-Life Emissions: 0.324 + 0.864 - 5.04 = -3.852 kg CO2e</w:t>
      </w:r>
      <w:r>
        <w:t xml:space="preserve"> </w:t>
      </w:r>
      <w:r>
        <w:t xml:space="preserve">(net benefit due to recycling)</w:t>
      </w:r>
    </w:p>
    <w:bookmarkEnd w:id="41"/>
    <w:bookmarkEnd w:id="42"/>
    <w:bookmarkStart w:id="43" w:name="X3904bedbc10d109738942a255f9b28a1adca462"/>
    <w:p>
      <w:pPr>
        <w:pStyle w:val="Heading3"/>
      </w:pPr>
      <w:r>
        <w:t xml:space="preserve">Summary of Total Product Carbon Footprint</w:t>
      </w:r>
    </w:p>
    <w:p>
      <w:pPr>
        <w:pStyle w:val="FirstParagraph"/>
      </w:pPr>
      <w:r>
        <w:t xml:space="preserve">The total Product Carbon Footprint for one unit of hteopskths, based on the illustrative data and GHG Protocol methodology, is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26.25</w:t>
            </w:r>
          </w:p>
        </w:tc>
      </w:tr>
      <w:tr>
        <w:tc>
          <w:tcPr/>
          <w:p>
            <w:pPr>
              <w:pStyle w:val="Compact"/>
              <w:jc w:val="left"/>
            </w:pPr>
            <w:r>
              <w:t xml:space="preserve">Manufacturing (Scope 1)</w:t>
            </w:r>
          </w:p>
        </w:tc>
        <w:tc>
          <w:tcPr/>
          <w:p>
            <w:pPr>
              <w:pStyle w:val="Compact"/>
              <w:jc w:val="left"/>
            </w:pPr>
            <w:r>
              <w:t xml:space="preserve">Scope 1 (Direct)</w:t>
            </w:r>
          </w:p>
        </w:tc>
        <w:tc>
          <w:tcPr/>
          <w:p>
            <w:pPr>
              <w:pStyle w:val="Compact"/>
              <w:jc w:val="left"/>
            </w:pPr>
            <w:r>
              <w:t xml:space="preserve">0.00</w:t>
            </w:r>
          </w:p>
        </w:tc>
      </w:tr>
      <w:tr>
        <w:tc>
          <w:tcPr/>
          <w:p>
            <w:pPr>
              <w:pStyle w:val="Compact"/>
              <w:jc w:val="left"/>
            </w:pPr>
            <w:r>
              <w:t xml:space="preserve">Manufacturing (Scope 2)</w:t>
            </w:r>
          </w:p>
        </w:tc>
        <w:tc>
          <w:tcPr/>
          <w:p>
            <w:pPr>
              <w:pStyle w:val="Compact"/>
              <w:jc w:val="left"/>
            </w:pPr>
            <w:r>
              <w:t xml:space="preserve">Scope 2 (Purchased Energy)</w:t>
            </w:r>
          </w:p>
        </w:tc>
        <w:tc>
          <w:tcPr/>
          <w:p>
            <w:pPr>
              <w:pStyle w:val="Compact"/>
              <w:jc w:val="left"/>
            </w:pPr>
            <w:r>
              <w:t xml:space="preserve">7.98</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0.52</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1.00</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13.50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-3.85</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45.40 kg CO2e</w:t>
            </w:r>
          </w:p>
        </w:tc>
      </w:tr>
    </w:tbl>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Emission Hotspots</w:t>
      </w:r>
    </w:p>
    <w:p>
      <w:pPr>
        <w:pStyle w:val="FirstParagraph"/>
      </w:pPr>
      <w:r>
        <w:t xml:space="preserve">The analysis highlights the following key emission hotspots for hteopskths:</w:t>
      </w:r>
    </w:p>
    <w:p>
      <w:pPr>
        <w:numPr>
          <w:ilvl w:val="0"/>
          <w:numId w:val="1015"/>
        </w:numPr>
        <w:pStyle w:val="Compact"/>
      </w:pPr>
      <w:r>
        <w:rPr>
          <w:bCs/>
          <w:b/>
        </w:rPr>
        <w:t xml:space="preserve">Materials Acquisition &amp; Pre-processing (Scope 3 Upstream):</w:t>
      </w:r>
      <w:r>
        <w:t xml:space="preserve"> </w:t>
      </w:r>
      <w:r>
        <w:t xml:space="preserve">This stage represents the largest single contributor to the PCF, accounting for approximately 57.8% of the total emissions. The Electronic Board (10.0 kg CO2e) and Steel Frame (11.0 kg CO2e) are significant contributors within this category, indicating that material selection and supplier engagement for low-carbon materials are critical.</w:t>
      </w:r>
    </w:p>
    <w:p>
      <w:pPr>
        <w:numPr>
          <w:ilvl w:val="0"/>
          <w:numId w:val="1015"/>
        </w:numPr>
        <w:pStyle w:val="Compact"/>
      </w:pPr>
      <w:r>
        <w:rPr>
          <w:bCs/>
          <w:b/>
        </w:rPr>
        <w:t xml:space="preserve">Product Use Phase (Scope 3 Downstream):</w:t>
      </w:r>
      <w:r>
        <w:t xml:space="preserve"> </w:t>
      </w:r>
      <w:r>
        <w:t xml:space="preserve">Energy consumption during the product\'s 5-year lifespan contributes significantly, representing about 29.7% of the total PCF. This underscores the importance of energy-efficient design and promoting renewable energy use by end-users.</w:t>
      </w:r>
    </w:p>
    <w:p>
      <w:pPr>
        <w:numPr>
          <w:ilvl w:val="0"/>
          <w:numId w:val="1015"/>
        </w:numPr>
        <w:pStyle w:val="Compact"/>
      </w:pPr>
      <w:r>
        <w:rPr>
          <w:bCs/>
          <w:b/>
        </w:rPr>
        <w:t xml:space="preserve">Manufacturing (Scope 2):</w:t>
      </w:r>
      <w:r>
        <w:t xml:space="preserve"> </w:t>
      </w:r>
      <w:r>
        <w:t xml:space="preserve">Purchased electricity for production contributes about 17.6% of the total. Increasing the share of renewable energy beyond the current 30% [cite: nxfjtiykrs parameter] in the manufacturing facilities in China would substantially reduce this footprint.</w:t>
      </w:r>
    </w:p>
    <w:p>
      <w:pPr>
        <w:numPr>
          <w:ilvl w:val="0"/>
          <w:numId w:val="1015"/>
        </w:numPr>
        <w:pStyle w:val="Compact"/>
      </w:pPr>
      <w:r>
        <w:rPr>
          <w:bCs/>
          <w:b/>
        </w:rPr>
        <w:t xml:space="preserve">End-of-Life (Scope 3 Downstream):</w:t>
      </w:r>
      <w:r>
        <w:t xml:space="preserve"> </w:t>
      </w:r>
      <w:r>
        <w:t xml:space="preserve">The EoL phase shows a net benefit due to high recyclability (70%) and the associated avoided emissions. Strengthening circular programs [cite: unzintfjtn parameter] and ensuring high collection and processing efficiency will maximize these benefits.</w:t>
      </w:r>
    </w:p>
    <w:bookmarkEnd w:id="45"/>
    <w:bookmarkStart w:id="46" w:name="reliability-and-limitations"/>
    <w:p>
      <w:pPr>
        <w:pStyle w:val="Heading3"/>
      </w:pPr>
      <w:r>
        <w:t xml:space="preserve">Reliability and Limitations</w:t>
      </w:r>
    </w:p>
    <w:p>
      <w:pPr>
        <w:pStyle w:val="FirstParagraph"/>
      </w:pPr>
      <w:r>
        <w:t xml:space="preserve">The reliability of this report is directly dependent on the accuracy and completeness of the input data. Since several parameters were provided as placeholders, illustrative values based on industry-standard emission factors from sources like Ecoinvent, DEFRA, IEA, and MEE have been used. While these factors represent generally accepted averages, actual emissions may vary based on specific supplier data, manufacturing processes, and logistical details.</w:t>
      </w:r>
    </w:p>
    <w:p>
      <w:pPr>
        <w:pStyle w:val="BodyText"/>
      </w:pPr>
      <w:r>
        <w:t xml:space="preserve">The 95% Scope 3 coverage target, as per 2026 requirements, has been addressed by including all significant upstream and downstream activities based on the provided parameters. However, the granularity of data for some Scope 3 categories (e.g., specific last-mile delivery vehicle types or the full complexity of circular programs) would enhance accuracy.</w:t>
      </w:r>
    </w:p>
    <w:bookmarkEnd w:id="46"/>
    <w:bookmarkStart w:id="47" w:name="recommendations-for-qxuqetgyvj"/>
    <w:p>
      <w:pPr>
        <w:pStyle w:val="Heading3"/>
      </w:pPr>
      <w:r>
        <w:t xml:space="preserve">Recommendations for qxuqetgyvj</w:t>
      </w:r>
    </w:p>
    <w:p>
      <w:pPr>
        <w:numPr>
          <w:ilvl w:val="0"/>
          <w:numId w:val="1016"/>
        </w:numPr>
        <w:pStyle w:val="Compact"/>
      </w:pPr>
      <w:r>
        <w:rPr>
          <w:bCs/>
          <w:b/>
        </w:rPr>
        <w:t xml:space="preserve">Enhance Primary Data Collection:</w:t>
      </w:r>
      <w:r>
        <w:t xml:space="preserve"> </w:t>
      </w:r>
      <w:r>
        <w:t xml:space="preserve">Prioritize collecting primary data from suppliers for material production, energy consumption in manufacturing, and specific transport routes and modes. This is crucial for improving the accuracy of the PCF.</w:t>
      </w:r>
    </w:p>
    <w:p>
      <w:pPr>
        <w:numPr>
          <w:ilvl w:val="0"/>
          <w:numId w:val="1016"/>
        </w:numPr>
        <w:pStyle w:val="Compact"/>
      </w:pPr>
      <w:r>
        <w:rPr>
          <w:bCs/>
          <w:b/>
        </w:rPr>
        <w:t xml:space="preserve">Focus on Material Decarbonization:</w:t>
      </w:r>
      <w:r>
        <w:t xml:space="preserve"> </w:t>
      </w:r>
      <w:r>
        <w:t xml:space="preserve">Investigate opportunities to source lower-carbon alternatives for the Steel Frame and Electronic Board. Engage with suppliers to understand their decarbonization efforts and explore options for recycled content where feasible.</w:t>
      </w:r>
    </w:p>
    <w:p>
      <w:pPr>
        <w:numPr>
          <w:ilvl w:val="0"/>
          <w:numId w:val="1016"/>
        </w:numPr>
        <w:pStyle w:val="Compact"/>
      </w:pPr>
      <w:r>
        <w:rPr>
          <w:bCs/>
          <w:b/>
        </w:rPr>
        <w:t xml:space="preserve">Increase Renewable Energy in Production:</w:t>
      </w:r>
      <w:r>
        <w:t xml:space="preserve"> </w:t>
      </w:r>
      <w:r>
        <w:t xml:space="preserve">Explore strategies to increase the renewable energy usage at manufacturing facilities in China beyond 30% [cite: nxfjtiykrs parameter], such as direct power purchase agreements (PPAs) or on-site renewable energy generation.</w:t>
      </w:r>
    </w:p>
    <w:p>
      <w:pPr>
        <w:numPr>
          <w:ilvl w:val="0"/>
          <w:numId w:val="1016"/>
        </w:numPr>
        <w:pStyle w:val="Compact"/>
      </w:pPr>
      <w:r>
        <w:rPr>
          <w:bCs/>
          <w:b/>
        </w:rPr>
        <w:t xml:space="preserve">Optimize Product Design for Use Phase:</w:t>
      </w:r>
      <w:r>
        <w:t xml:space="preserve"> </w:t>
      </w:r>
      <w:r>
        <w:t xml:space="preserve">Continue to innovate for energy efficiency in the product\'s use phase to reduce downstream emissions.</w:t>
      </w:r>
    </w:p>
    <w:p>
      <w:pPr>
        <w:numPr>
          <w:ilvl w:val="0"/>
          <w:numId w:val="1016"/>
        </w:numPr>
        <w:pStyle w:val="Compact"/>
      </w:pPr>
      <w:r>
        <w:rPr>
          <w:bCs/>
          <w:b/>
        </w:rPr>
        <w:t xml:space="preserve">Strengthen Circularity:</w:t>
      </w:r>
      <w:r>
        <w:t xml:space="preserve"> </w:t>
      </w:r>
      <w:r>
        <w:t xml:space="preserve">Further develop and promote the existing "Material Recovery Program" [cite: unzintfjtn parameter] to ensure high recycling rates and explore opportunities for repair, refurbishment, or reuse models to extend product lifespan.</w: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hteopskths</dc:title>
  <dc:creator/>
  <dc:description>Detailed Product Carbon Footprint (PCF) analysis for hteopskths, conducted by Senior Sustainability Consultant dhmyqktulr, adhering to GHG Protocol standards and 2026 LSR updates.</dc:description>
  <dc:language>en</dc:language>
  <cp:keywords/>
  <dcterms:created xsi:type="dcterms:W3CDTF">2026-05-30T10:35:18Z</dcterms:created>
  <dcterms:modified xsi:type="dcterms:W3CDTF">2026-05-30T10:35:18Z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