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hrnlpelvfp</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hrnlpelvfp</w:t>
      </w:r>
    </w:p>
    <w:p>
      <w:pPr>
        <w:pStyle w:val="BodyText"/>
      </w:pPr>
      <w:r>
        <w:rPr>
          <w:bCs/>
          <w:b/>
        </w:rPr>
        <w:t xml:space="preserve">Company Name:</w:t>
      </w:r>
      <w:r>
        <w:t xml:space="preserve"> </w:t>
      </w:r>
      <w:r>
        <w:t xml:space="preserve">nisvtijxrl</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kkiodksely</w:t>
      </w:r>
    </w:p>
    <w:p>
      <w:pPr>
        <w:pStyle w:val="BodyText"/>
      </w:pPr>
      <w:r>
        <w:t xml:space="preserve">Disclaimer: This report is generated based on available data and industry standards. While efforts have been made to ensure accuracy and adherence to the GHG Protocol, results are subject to data availability, assumptions, and the inherent uncertainties of life cycle assessments.</w:t>
      </w:r>
    </w:p>
    <w:bookmarkEnd w:id="20"/>
    <w:bookmarkStart w:id="21" w:name="Xa87d010c1fd868336511b306fbd202996615f12"/>
    <w:p>
      <w:pPr>
        <w:pStyle w:val="Heading1"/>
      </w:pPr>
      <w:r>
        <w:t xml:space="preserve">Product Carbon Footprint Analysis Report</w:t>
      </w:r>
    </w:p>
    <w:p>
      <w:pPr>
        <w:pStyle w:val="FirstParagraph"/>
      </w:pPr>
      <w:r>
        <w:t xml:space="preserve">Generated Date: May 27,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hrnlpelvfp</w:t>
      </w:r>
      <w:r>
        <w:t xml:space="preserve">, manufactured by</w:t>
      </w:r>
      <w:r>
        <w:t xml:space="preserve"> </w:t>
      </w:r>
      <w:r>
        <w:rPr>
          <w:bCs/>
          <w:b/>
        </w:rPr>
        <w:t xml:space="preserve">nisvtijxrl</w:t>
      </w:r>
      <w:r>
        <w:t xml:space="preserve">. The analysis, conducted by Senior Sustainability Consultant</w:t>
      </w:r>
      <w:r>
        <w:t xml:space="preserve"> </w:t>
      </w:r>
      <w:r>
        <w:rPr>
          <w:bCs/>
          <w:b/>
        </w:rPr>
        <w:t xml:space="preserve">kkiodksely</w:t>
      </w:r>
      <w:r>
        <w:t xml:space="preserve">, adheres to the Greenhouse Gas (GHG) Protocol Product Life Cycle Accounting and Reporting Standard. The total cradle-to-grave carbon footprint for one functional unit of hrnlpelvfp is calculated to be approximately 32.29 kgCO2e. The Use Phase and Materials Acquisition were identified as the primary emission hotspots, with a significant credit generated from the End-of-Life phase due to high recyclability and circular economy programs.</w:t>
      </w:r>
    </w:p>
    <w:p>
      <w:pPr>
        <w:pStyle w:val="BodyText"/>
      </w:pPr>
      <w:r>
        <w:t xml:space="preserve">The assessment incorporates detailed Bill of Materials (BOM), specific logistics, energy consumption, product lifespan, and end-of-life scenarios. Special attention has been paid to categorizing emissions into Scope 1, 2, and 3, in compliance with GHG Protocol requirements, including considerations for the 2026 Land Sector and Removals (LSR) Standard and aiming for at least 95% coverage for Scope 3 reporting.</w:t>
      </w:r>
    </w:p>
    <w:p>
      <w:r>
        <w:pict>
          <v:rect style="width:0;height:1.5pt" o:hralign="center" o:hrstd="t" o:hr="t"/>
        </w:pict>
      </w:r>
    </w:p>
    <w:bookmarkEnd w:id="22"/>
    <w:bookmarkStart w:id="25" w:name="methodology-and-scope-definition"/>
    <w:p>
      <w:pPr>
        <w:pStyle w:val="Heading2"/>
      </w:pPr>
      <w:r>
        <w:t xml:space="preserve">1. Methodology and Scope Definition</w:t>
      </w:r>
    </w:p>
    <w:p>
      <w:pPr>
        <w:pStyle w:val="FirstParagraph"/>
      </w:pPr>
      <w:r>
        <w:t xml:space="preserve">The Product Carbon Footprint (PCF) for</w:t>
      </w:r>
      <w:r>
        <w:t xml:space="preserve"> </w:t>
      </w:r>
      <w:r>
        <w:rPr>
          <w:bCs/>
          <w:b/>
        </w:rPr>
        <w:t xml:space="preserve">hrnlpelvfp</w:t>
      </w:r>
      <w:r>
        <w:t xml:space="preserve"> </w:t>
      </w:r>
      <w:r>
        <w:t xml:space="preserve">was calculated following the five-step methodology recommended by the GHG Protocol Product Standard.</w:t>
      </w:r>
    </w:p>
    <w:bookmarkStart w:id="23"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1.0 unit of hrnlpelvfp. This represents the quantified performance of the product for which the environmental impact is assessed.</w:t>
      </w:r>
    </w:p>
    <w:p>
      <w:pPr>
        <w:numPr>
          <w:ilvl w:val="0"/>
          <w:numId w:val="1001"/>
        </w:numPr>
        <w:pStyle w:val="Compact"/>
      </w:pPr>
      <w:r>
        <w:rPr>
          <w:bCs/>
          <w:b/>
        </w:rPr>
        <w:t xml:space="preserve">System Boundary:</w:t>
      </w:r>
      <w:r>
        <w:t xml:space="preserve"> </w:t>
      </w:r>
      <w:r>
        <w:t xml:space="preserve">Factory-gate to grave (Cradle-to-Grave). This includes raw material extraction, manufacturing, transportation to market, product use, and end-of-life treatment.</w:t>
      </w:r>
    </w:p>
    <w:p>
      <w:pPr>
        <w:numPr>
          <w:ilvl w:val="0"/>
          <w:numId w:val="1001"/>
        </w:numPr>
        <w:pStyle w:val="Compact"/>
      </w:pPr>
      <w:r>
        <w:rPr>
          <w:bCs/>
          <w:b/>
        </w:rPr>
        <w:t xml:space="preserve">Geographic Scope:</w:t>
      </w:r>
      <w:r>
        <w:t xml:space="preserve"> </w:t>
      </w:r>
      <w:r>
        <w:t xml:space="preserve">Final Production Country: China, Supply Chain Focus: Europe Focused. This implies raw material sourcing and manufacturing in China, with product distribution, use, and end-of-life predominantly in the European market.</w:t>
      </w:r>
    </w:p>
    <w:p>
      <w:pPr>
        <w:numPr>
          <w:ilvl w:val="0"/>
          <w:numId w:val="1001"/>
        </w:numPr>
        <w:pStyle w:val="Compact"/>
      </w:pPr>
      <w:r>
        <w:rPr>
          <w:bCs/>
          <w:b/>
        </w:rPr>
        <w:t xml:space="preserve">Allocation:</w:t>
      </w:r>
      <w:r>
        <w:t xml:space="preserve"> </w:t>
      </w:r>
      <w:r>
        <w:t xml:space="preserve">Emissions are allocated based on physical parameters (e.g., mass for materials, energy for processes, tonne-kilometer for transport). In cases of co-products or recycling, system expansion (credits for avoided primary production) is applied for End-of-Life scenarios.</w:t>
      </w:r>
    </w:p>
    <w:bookmarkEnd w:id="23"/>
    <w:bookmarkStart w:id="24" w:name="accounting-standard"/>
    <w:p>
      <w:pPr>
        <w:pStyle w:val="Heading3"/>
      </w:pPr>
      <w:r>
        <w:t xml:space="preserve">1.2. Accounting Standard</w:t>
      </w:r>
    </w:p>
    <w:p>
      <w:pPr>
        <w:pStyle w:val="FirstParagraph"/>
      </w:pPr>
      <w:r>
        <w:t xml:space="preserve">This analysis strictly adheres to the</w:t>
      </w:r>
      <w:r>
        <w:t xml:space="preserve"> </w:t>
      </w:r>
      <w:r>
        <w:rPr>
          <w:bCs/>
          <w:b/>
        </w:rPr>
        <w:t xml:space="preserve">GHG Protocol Product Life Cycle Accounting and Reporting Standard</w:t>
      </w:r>
      <w:r>
        <w:t xml:space="preserve">. Emissions are categorized into Scope 1 (direct emissions from owned or controlled sources), Scope 2 (indirect emissions from the generation of purchased energy), and Scope 3 (all other indirect emissions that occur in the value chain of the reporting company). The assessment also considers the principles of the 2026 Land Sector and Removals (LSR) Standard by accounting for carbon removals through recycling credits.</w:t>
      </w:r>
    </w:p>
    <w:p>
      <w:r>
        <w:pict>
          <v:rect style="width:0;height:1.5pt" o:hralign="center" o:hrstd="t" o:hr="t"/>
        </w:pict>
      </w:r>
    </w:p>
    <w:bookmarkEnd w:id="24"/>
    <w:bookmarkEnd w:id="25"/>
    <w:bookmarkStart w:id="31" w:name="X77c77e763eb0e7aad4619600a53bfcd0a36988a"/>
    <w:p>
      <w:pPr>
        <w:pStyle w:val="Heading2"/>
      </w:pPr>
      <w:r>
        <w:t xml:space="preserve">2. Lifecycle Mapping and Data Collection (LCI)</w:t>
      </w:r>
    </w:p>
    <w:p>
      <w:pPr>
        <w:pStyle w:val="FirstParagraph"/>
      </w:pPr>
      <w:r>
        <w:t xml:space="preserve">This section details the inventory of all relevant inputs and outputs throughout the product\'s lifecycle, serving as the basis for emission calculations. Primary data (where specified by parameters) and secondary data from recognized databases are used.</w:t>
      </w:r>
    </w:p>
    <w:bookmarkStart w:id="26" w:name="Xab9779be023fec4cef92b34afb63341eba7aebf"/>
    <w:p>
      <w:pPr>
        <w:pStyle w:val="Heading3"/>
      </w:pPr>
      <w:r>
        <w:t xml:space="preserve">2.1. Detailed Bill of Materials (BOM) - Materials Acquisition &amp; Pre-processing</w:t>
      </w:r>
    </w:p>
    <w:p>
      <w:pPr>
        <w:pStyle w:val="FirstParagraph"/>
      </w:pPr>
      <w:r>
        <w:t xml:space="preserve">The following Bill of Materials (BOM) for</w:t>
      </w:r>
      <w:r>
        <w:t xml:space="preserve"> </w:t>
      </w:r>
      <w:r>
        <w:rPr>
          <w:bCs/>
          <w:b/>
        </w:rPr>
        <w:t xml:space="preserve">hrnlpelvfp</w:t>
      </w:r>
      <w:r>
        <w:t xml:space="preserve"> </w:t>
      </w:r>
      <w:r>
        <w:t xml:space="preserve">was utilized to calculate the material impact, with emission factors sourced from industry-standard databases (e.g., International Aluminium Institute, Plastics Europe, DEFRA, Ecoinvent) for primary production or specific processes. All "Total Carbon" values are calculated based on the provided Quantity and Emission Factor.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Aluminium Alloy (Extruded)</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14.8</w:t>
            </w:r>
          </w:p>
        </w:tc>
        <w:tc>
          <w:tcPr/>
          <w:p>
            <w:pPr>
              <w:pStyle w:val="Compact"/>
              <w:jc w:val="left"/>
            </w:pPr>
            <w:r>
              <w:t xml:space="preserve">7.4000</w:t>
            </w:r>
          </w:p>
        </w:tc>
      </w:tr>
      <w:tr>
        <w:tc>
          <w:tcPr/>
          <w:p>
            <w:pPr>
              <w:pStyle w:val="Compact"/>
              <w:jc w:val="left"/>
            </w:pPr>
            <w:r>
              <w:t xml:space="preserve">P001</w:t>
            </w:r>
          </w:p>
        </w:tc>
        <w:tc>
          <w:tcPr/>
          <w:p>
            <w:pPr>
              <w:pStyle w:val="Compact"/>
              <w:jc w:val="left"/>
            </w:pPr>
            <w:r>
              <w:t xml:space="preserve">ABS Plastic (Injection Molded)</w:t>
            </w:r>
          </w:p>
        </w:tc>
        <w:tc>
          <w:tcPr/>
          <w:p>
            <w:pPr>
              <w:pStyle w:val="Compact"/>
              <w:jc w:val="left"/>
            </w:pPr>
            <w:r>
              <w:t xml:space="preserve">Plastic</w:t>
            </w:r>
          </w:p>
        </w:tc>
        <w:tc>
          <w:tcPr/>
          <w:p>
            <w:pPr>
              <w:pStyle w:val="Compact"/>
              <w:jc w:val="left"/>
            </w:pPr>
            <w:r>
              <w:t xml:space="preserve">Polymerization &amp;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3.125</w:t>
            </w:r>
          </w:p>
        </w:tc>
        <w:tc>
          <w:tcPr/>
          <w:p>
            <w:pPr>
              <w:pStyle w:val="Compact"/>
              <w:jc w:val="left"/>
            </w:pPr>
            <w:r>
              <w:t xml:space="preserve">0.9375</w:t>
            </w:r>
          </w:p>
        </w:tc>
      </w:tr>
      <w:tr>
        <w:tc>
          <w:tcPr/>
          <w:p>
            <w:pPr>
              <w:pStyle w:val="Compact"/>
              <w:jc w:val="left"/>
            </w:pPr>
            <w:r>
              <w:t xml:space="preserve">E001</w:t>
            </w:r>
          </w:p>
        </w:tc>
        <w:tc>
          <w:tcPr/>
          <w:p>
            <w:pPr>
              <w:pStyle w:val="Compact"/>
              <w:jc w:val="left"/>
            </w:pPr>
            <w:r>
              <w:t xml:space="preserve">Circuit Board (FR4)</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2.0 (assumed for 0.1 unit)</w:t>
            </w:r>
          </w:p>
        </w:tc>
        <w:tc>
          <w:tcPr/>
          <w:p>
            <w:pPr>
              <w:pStyle w:val="Compact"/>
              <w:jc w:val="left"/>
            </w:pPr>
            <w:r>
              <w:t xml:space="preserve">0.2000</w:t>
            </w:r>
          </w:p>
        </w:tc>
      </w:tr>
      <w:tr>
        <w:tc>
          <w:tcPr/>
          <w:p>
            <w:pPr>
              <w:pStyle w:val="Compact"/>
              <w:jc w:val="left"/>
            </w:pPr>
            <w:r>
              <w:t xml:space="preserve">P002</w:t>
            </w:r>
          </w:p>
        </w:tc>
        <w:tc>
          <w:tcPr/>
          <w:p>
            <w:pPr>
              <w:pStyle w:val="Compact"/>
              <w:jc w:val="left"/>
            </w:pPr>
            <w:r>
              <w:t xml:space="preserve">Packaging (Recycled Cardboard)</w:t>
            </w:r>
          </w:p>
        </w:tc>
        <w:tc>
          <w:tcPr/>
          <w:p>
            <w:pPr>
              <w:pStyle w:val="Compact"/>
              <w:jc w:val="left"/>
            </w:pPr>
            <w:r>
              <w:t xml:space="preserve">Packaging</w:t>
            </w:r>
          </w:p>
        </w:tc>
        <w:tc>
          <w:tcPr/>
          <w:p>
            <w:pPr>
              <w:pStyle w:val="Compact"/>
              <w:jc w:val="left"/>
            </w:pPr>
            <w:r>
              <w:t xml:space="preserve">Paper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0.1600</w:t>
            </w:r>
          </w:p>
        </w:tc>
      </w:tr>
      <w:tr>
        <w:tc>
          <w:tcPr>
            <w:gridSpan w:val="7"/>
          </w:tcPr>
          <w:p>
            <w:pPr>
              <w:pStyle w:val="Compact"/>
              <w:jc w:val="right"/>
            </w:pPr>
            <w:r>
              <w:rPr>
                <w:bCs/>
                <w:b/>
              </w:rPr>
              <w:t xml:space="preserve">Total Materials Acquisition Emissions:</w:t>
            </w:r>
          </w:p>
        </w:tc>
        <w:tc>
          <w:tcPr/>
          <w:p>
            <w:pPr>
              <w:pStyle w:val="Compact"/>
              <w:jc w:val="left"/>
            </w:pPr>
            <w:r>
              <w:rPr>
                <w:bCs/>
                <w:b/>
              </w:rPr>
              <w:t xml:space="preserve">8.6975</w:t>
            </w:r>
          </w:p>
        </w:tc>
      </w:tr>
    </w:tbl>
    <w:bookmarkEnd w:id="26"/>
    <w:bookmarkStart w:id="27" w:name="production-phase-energy-inputs"/>
    <w:p>
      <w:pPr>
        <w:pStyle w:val="Heading3"/>
      </w:pPr>
      <w:r>
        <w:t xml:space="preserve">2.2. Production Phase Energy Inputs</w:t>
      </w:r>
    </w:p>
    <w:p>
      <w:pPr>
        <w:pStyle w:val="FirstParagraph"/>
      </w:pPr>
      <w:r>
        <w:t xml:space="preserve">Energy consumption during the manufacturing of</w:t>
      </w:r>
      <w:r>
        <w:t xml:space="preserve"> </w:t>
      </w:r>
      <w:r>
        <w:rPr>
          <w:bCs/>
          <w:b/>
        </w:rPr>
        <w:t xml:space="preserve">hrnlpelvfp</w:t>
      </w:r>
      <w:r>
        <w:t xml:space="preserve">:</w:t>
      </w:r>
    </w:p>
    <w:p>
      <w:pPr>
        <w:numPr>
          <w:ilvl w:val="0"/>
          <w:numId w:val="1002"/>
        </w:numPr>
        <w:pStyle w:val="Compact"/>
      </w:pPr>
      <w:r>
        <w:rPr>
          <w:bCs/>
          <w:b/>
        </w:rPr>
        <w:t xml:space="preserve">Energy Intensity (kWh/unit):</w:t>
      </w:r>
      <w:r>
        <w:t xml:space="preserve"> </w:t>
      </w:r>
      <w:r>
        <w:t xml:space="preserve">15 kWh/unit</w:t>
      </w:r>
    </w:p>
    <w:p>
      <w:pPr>
        <w:numPr>
          <w:ilvl w:val="0"/>
          <w:numId w:val="1002"/>
        </w:numPr>
        <w:pStyle w:val="Compact"/>
      </w:pPr>
      <w:r>
        <w:rPr>
          <w:bCs/>
          <w:b/>
        </w:rPr>
        <w:t xml:space="preserve">Renewable Energy Usage:</w:t>
      </w:r>
      <w:r>
        <w:t xml:space="preserve"> </w:t>
      </w:r>
      <w:r>
        <w:t xml:space="preserve">75%</w:t>
      </w:r>
    </w:p>
    <w:p>
      <w:pPr>
        <w:numPr>
          <w:ilvl w:val="0"/>
          <w:numId w:val="1002"/>
        </w:numPr>
        <w:pStyle w:val="Compact"/>
      </w:pPr>
      <w:r>
        <w:rPr>
          <w:bCs/>
          <w:b/>
        </w:rPr>
        <w:t xml:space="preserve">Non-Renewable (Grid) Energy Usage:</w:t>
      </w:r>
      <w:r>
        <w:t xml:space="preserve"> </w:t>
      </w:r>
      <w:r>
        <w:t xml:space="preserve">25%</w:t>
      </w:r>
    </w:p>
    <w:p>
      <w:pPr>
        <w:numPr>
          <w:ilvl w:val="0"/>
          <w:numId w:val="1002"/>
        </w:numPr>
        <w:pStyle w:val="Compact"/>
      </w:pPr>
      <w:r>
        <w:rPr>
          <w:bCs/>
          <w:b/>
        </w:rPr>
        <w:t xml:space="preserve">China Grid Electricity Emission Factor:</w:t>
      </w:r>
      <w:r>
        <w:t xml:space="preserve"> </w:t>
      </w:r>
      <w:r>
        <w:t xml:space="preserve">0.62 kgCO2e/kWh</w:t>
      </w:r>
    </w:p>
    <w:p>
      <w:pPr>
        <w:numPr>
          <w:ilvl w:val="0"/>
          <w:numId w:val="1002"/>
        </w:numPr>
        <w:pStyle w:val="Compact"/>
      </w:pPr>
      <w:r>
        <w:rPr>
          <w:bCs/>
          <w:b/>
        </w:rPr>
        <w:t xml:space="preserve">Renewable Energy Emission Factor:</w:t>
      </w:r>
      <w:r>
        <w:t xml:space="preserve"> </w:t>
      </w:r>
      <w:r>
        <w:t xml:space="preserve">0.01 kgCO2e/kWh (illustrative, for negligible operational emissions)</w:t>
      </w:r>
    </w:p>
    <w:bookmarkEnd w:id="27"/>
    <w:bookmarkStart w:id="28" w:name="Xa1d10ce5214c8db34319b709d1376eea9beaf57"/>
    <w:p>
      <w:pPr>
        <w:pStyle w:val="Heading3"/>
      </w:pPr>
      <w:r>
        <w:t xml:space="preserve">2.3. Logistics Data - Transport Mode and Distance</w:t>
      </w:r>
    </w:p>
    <w:p>
      <w:pPr>
        <w:pStyle w:val="FirstParagraph"/>
      </w:pPr>
      <w:r>
        <w:t xml:space="preserve">Transportation plays a critical role in the supply chain. The following parameters were used:</w:t>
      </w:r>
    </w:p>
    <w:p>
      <w:pPr>
        <w:numPr>
          <w:ilvl w:val="0"/>
          <w:numId w:val="1003"/>
        </w:numPr>
        <w:pStyle w:val="Compact"/>
      </w:pPr>
      <w:r>
        <w:rPr>
          <w:bCs/>
          <w:b/>
        </w:rPr>
        <w:t xml:space="preserve">Product Weight (Total, incl. packaging):</w:t>
      </w:r>
      <w:r>
        <w:t xml:space="preserve"> </w:t>
      </w:r>
      <w:r>
        <w:t xml:space="preserve">1.1 kg (0.0011 tonnes)</w:t>
      </w:r>
    </w:p>
    <w:p>
      <w:pPr>
        <w:numPr>
          <w:ilvl w:val="0"/>
          <w:numId w:val="1003"/>
        </w:numPr>
        <w:pStyle w:val="Compact"/>
      </w:pPr>
      <w:r>
        <w:rPr>
          <w:bCs/>
          <w:b/>
        </w:rPr>
        <w:t xml:space="preserve">Raw Materials Transport (to China for production):</w:t>
      </w:r>
    </w:p>
    <w:p>
      <w:pPr>
        <w:numPr>
          <w:ilvl w:val="1"/>
          <w:numId w:val="1004"/>
        </w:numPr>
        <w:pStyle w:val="Compact"/>
      </w:pPr>
      <w:r>
        <w:t xml:space="preserve">Mode: Road freight (Heavy duty truck, &gt;32t)</w:t>
      </w:r>
    </w:p>
    <w:p>
      <w:pPr>
        <w:numPr>
          <w:ilvl w:val="1"/>
          <w:numId w:val="1004"/>
        </w:numPr>
        <w:pStyle w:val="Compact"/>
      </w:pPr>
      <w:r>
        <w:t xml:space="preserve">Distance: 2000 km</w:t>
      </w:r>
    </w:p>
    <w:p>
      <w:pPr>
        <w:numPr>
          <w:ilvl w:val="1"/>
          <w:numId w:val="1004"/>
        </w:numPr>
        <w:pStyle w:val="Compact"/>
      </w:pPr>
      <w:r>
        <w:t xml:space="preserve">Emission Factor (Road Freight): 0.09 kgCO2e/tkm</w:t>
      </w:r>
    </w:p>
    <w:p>
      <w:pPr>
        <w:numPr>
          <w:ilvl w:val="0"/>
          <w:numId w:val="1003"/>
        </w:numPr>
        <w:pStyle w:val="Compact"/>
      </w:pPr>
      <w:r>
        <w:rPr>
          <w:bCs/>
          <w:b/>
        </w:rPr>
        <w:t xml:space="preserve">Finished Product Transport (China to Europe):</w:t>
      </w:r>
    </w:p>
    <w:p>
      <w:pPr>
        <w:numPr>
          <w:ilvl w:val="1"/>
          <w:numId w:val="1005"/>
        </w:numPr>
        <w:pStyle w:val="Compact"/>
      </w:pPr>
      <w:r>
        <w:t xml:space="preserve">Mode: Ocean freight (Container ship)</w:t>
      </w:r>
    </w:p>
    <w:p>
      <w:pPr>
        <w:numPr>
          <w:ilvl w:val="1"/>
          <w:numId w:val="1005"/>
        </w:numPr>
        <w:pStyle w:val="Compact"/>
      </w:pPr>
      <w:r>
        <w:t xml:space="preserve">Distance: 10,000 km</w:t>
      </w:r>
    </w:p>
    <w:p>
      <w:pPr>
        <w:numPr>
          <w:ilvl w:val="1"/>
          <w:numId w:val="1005"/>
        </w:numPr>
        <w:pStyle w:val="Compact"/>
      </w:pPr>
      <w:r>
        <w:t xml:space="preserve">Emission Factor (Ocean Freight): 0.016 kgCO2e/tkm</w:t>
      </w:r>
    </w:p>
    <w:p>
      <w:pPr>
        <w:numPr>
          <w:ilvl w:val="0"/>
          <w:numId w:val="1003"/>
        </w:numPr>
        <w:pStyle w:val="Compact"/>
      </w:pPr>
      <w:r>
        <w:rPr>
          <w:bCs/>
          <w:b/>
        </w:rPr>
        <w:t xml:space="preserve">Last-Mile Delivery (within Europe):</w:t>
      </w:r>
    </w:p>
    <w:p>
      <w:pPr>
        <w:numPr>
          <w:ilvl w:val="1"/>
          <w:numId w:val="1006"/>
        </w:numPr>
        <w:pStyle w:val="Compact"/>
      </w:pPr>
      <w:r>
        <w:t xml:space="preserve">Channel: Parcel delivery (small van)</w:t>
      </w:r>
    </w:p>
    <w:p>
      <w:pPr>
        <w:numPr>
          <w:ilvl w:val="1"/>
          <w:numId w:val="1006"/>
        </w:numPr>
        <w:pStyle w:val="Compact"/>
      </w:pPr>
      <w:r>
        <w:t xml:space="preserve">Distance: 500 km</w:t>
      </w:r>
    </w:p>
    <w:p>
      <w:pPr>
        <w:numPr>
          <w:ilvl w:val="1"/>
          <w:numId w:val="1006"/>
        </w:numPr>
        <w:pStyle w:val="Compact"/>
      </w:pPr>
      <w:r>
        <w:t xml:space="preserve">Emission Factor (Last-Mile Road Freight): 0.15 kgCO2e/tkm (illustrative for smaller vehicles)</w:t>
      </w:r>
    </w:p>
    <w:bookmarkEnd w:id="28"/>
    <w:bookmarkStart w:id="29" w:name="use-phase-data"/>
    <w:p>
      <w:pPr>
        <w:pStyle w:val="Heading3"/>
      </w:pPr>
      <w:r>
        <w:t xml:space="preserve">2.4. Use Phase Data</w:t>
      </w:r>
    </w:p>
    <w:p>
      <w:pPr>
        <w:pStyle w:val="FirstParagraph"/>
      </w:pPr>
      <w:r>
        <w:t xml:space="preserve">The user phase emissions are based on:</w:t>
      </w:r>
    </w:p>
    <w:p>
      <w:pPr>
        <w:numPr>
          <w:ilvl w:val="0"/>
          <w:numId w:val="1007"/>
        </w:numPr>
        <w:pStyle w:val="Compact"/>
      </w:pPr>
      <w:r>
        <w:rPr>
          <w:bCs/>
          <w:b/>
        </w:rPr>
        <w:t xml:space="preserve">Product Lifespan:</w:t>
      </w:r>
      <w:r>
        <w:t xml:space="preserve"> </w:t>
      </w:r>
      <w:r>
        <w:t xml:space="preserve">5 years</w:t>
      </w:r>
    </w:p>
    <w:p>
      <w:pPr>
        <w:numPr>
          <w:ilvl w:val="0"/>
          <w:numId w:val="1007"/>
        </w:numPr>
        <w:pStyle w:val="Compact"/>
      </w:pPr>
      <w:r>
        <w:rPr>
          <w:bCs/>
          <w:b/>
        </w:rPr>
        <w:t xml:space="preserve">Energy Consumption in Use:</w:t>
      </w:r>
      <w:r>
        <w:t xml:space="preserve"> </w:t>
      </w:r>
      <w:r>
        <w:t xml:space="preserve">20 kWh/year</w:t>
      </w:r>
    </w:p>
    <w:p>
      <w:pPr>
        <w:numPr>
          <w:ilvl w:val="0"/>
          <w:numId w:val="1007"/>
        </w:numPr>
        <w:pStyle w:val="Compact"/>
      </w:pPr>
      <w:r>
        <w:rPr>
          <w:bCs/>
          <w:b/>
        </w:rPr>
        <w:t xml:space="preserve">European Average Grid Electricity Emission Factor:</w:t>
      </w:r>
      <w:r>
        <w:t xml:space="preserve"> </w:t>
      </w:r>
      <w:r>
        <w:t xml:space="preserve">0.27 kgCO2e/kWh (illustrative for EU)</w:t>
      </w:r>
    </w:p>
    <w:bookmarkEnd w:id="29"/>
    <w:bookmarkStart w:id="30" w:name="end-of-life-eol-scenarios"/>
    <w:p>
      <w:pPr>
        <w:pStyle w:val="Heading3"/>
      </w:pPr>
      <w:r>
        <w:t xml:space="preserve">2.5. End-of-Life (EoL) Scenarios</w:t>
      </w:r>
    </w:p>
    <w:p>
      <w:pPr>
        <w:pStyle w:val="FirstParagraph"/>
      </w:pPr>
      <w:r>
        <w:t xml:space="preserve">End-of-life impacts are determined by:</w:t>
      </w:r>
    </w:p>
    <w:p>
      <w:pPr>
        <w:numPr>
          <w:ilvl w:val="0"/>
          <w:numId w:val="1008"/>
        </w:numPr>
        <w:pStyle w:val="Compact"/>
      </w:pPr>
      <w:r>
        <w:rPr>
          <w:bCs/>
          <w:b/>
        </w:rPr>
        <w:t xml:space="preserve">Recyclability Percentage:</w:t>
      </w:r>
      <w:r>
        <w:t xml:space="preserve"> </w:t>
      </w:r>
      <w:r>
        <w:t xml:space="preserve">80%</w:t>
      </w:r>
    </w:p>
    <w:p>
      <w:pPr>
        <w:numPr>
          <w:ilvl w:val="0"/>
          <w:numId w:val="1008"/>
        </w:numPr>
        <w:pStyle w:val="Compact"/>
      </w:pPr>
      <w:r>
        <w:rPr>
          <w:bCs/>
          <w:b/>
        </w:rPr>
        <w:t xml:space="preserve">Circular/Take-back Programs:</w:t>
      </w:r>
      <w:r>
        <w:t xml:space="preserve"> </w:t>
      </w:r>
      <w:r>
        <w:t xml:space="preserve">Established product take-back and refurbishment program by nisvtijxrl.</w:t>
      </w:r>
    </w:p>
    <w:p>
      <w:pPr>
        <w:numPr>
          <w:ilvl w:val="0"/>
          <w:numId w:val="1008"/>
        </w:numPr>
        <w:pStyle w:val="Compact"/>
      </w:pPr>
      <w:r>
        <w:rPr>
          <w:bCs/>
          <w:b/>
        </w:rPr>
        <w:t xml:space="preserve">Landfill Emission Factor:</w:t>
      </w:r>
      <w:r>
        <w:t xml:space="preserve"> </w:t>
      </w:r>
      <w:r>
        <w:t xml:space="preserve">0.3 kgCO2e/kg</w:t>
      </w:r>
    </w:p>
    <w:p>
      <w:pPr>
        <w:numPr>
          <w:ilvl w:val="0"/>
          <w:numId w:val="1008"/>
        </w:numPr>
        <w:pStyle w:val="Compact"/>
      </w:pPr>
      <w:r>
        <w:rPr>
          <w:bCs/>
          <w:b/>
        </w:rPr>
        <w:t xml:space="preserve">Recycling Credit (Aluminium):</w:t>
      </w:r>
      <w:r>
        <w:t xml:space="preserve"> </w:t>
      </w:r>
      <w:r>
        <w:t xml:space="preserve">95% less CO2 than primary production (-14.06 kgCO2e/kg)</w:t>
      </w:r>
    </w:p>
    <w:p>
      <w:pPr>
        <w:numPr>
          <w:ilvl w:val="0"/>
          <w:numId w:val="1008"/>
        </w:numPr>
        <w:pStyle w:val="Compact"/>
      </w:pPr>
      <w:r>
        <w:rPr>
          <w:bCs/>
          <w:b/>
        </w:rPr>
        <w:t xml:space="preserve">Recycling Credit (ABS Plastic):</w:t>
      </w:r>
      <w:r>
        <w:t xml:space="preserve"> </w:t>
      </w:r>
      <w:r>
        <w:t xml:space="preserve">81% less CO2 than virgin ABS (-2.53 kgCO2e/kg)</w:t>
      </w:r>
    </w:p>
    <w:p>
      <w:r>
        <w:pict>
          <v:rect style="width:0;height:1.5pt" o:hralign="center" o:hrstd="t" o:hr="t"/>
        </w:pict>
      </w:r>
    </w:p>
    <w:bookmarkEnd w:id="30"/>
    <w:bookmarkEnd w:id="31"/>
    <w:bookmarkStart w:id="36" w:name="X439a6e6dcb43c636bf515ffaf3f59bce0bd6490"/>
    <w:p>
      <w:pPr>
        <w:pStyle w:val="Heading2"/>
      </w:pPr>
      <w:r>
        <w:t xml:space="preserve">3. Emission Calculation (Activity * Emission Factor = CO2e)</w:t>
      </w:r>
    </w:p>
    <w:p>
      <w:pPr>
        <w:pStyle w:val="FirstParagraph"/>
      </w:pPr>
      <w:r>
        <w:t xml:space="preserve">Emissions are calculated for each lifecycle stage and categorized according to the GHG Protocol.</w:t>
      </w:r>
    </w:p>
    <w:bookmarkStart w:id="32" w:name="scope-1-emissions-direct-emissions"/>
    <w:p>
      <w:pPr>
        <w:pStyle w:val="Heading3"/>
      </w:pPr>
      <w:r>
        <w:t xml:space="preserve">3.1. Scope 1 Emissions (Direct Emissions)</w:t>
      </w:r>
    </w:p>
    <w:p>
      <w:pPr>
        <w:pStyle w:val="FirstParagraph"/>
      </w:pPr>
      <w:r>
        <w:t xml:space="preserve">Based on the provided parameters, there are no direct (Scope 1) emissions from owned or controlled sources of</w:t>
      </w:r>
      <w:r>
        <w:t xml:space="preserve"> </w:t>
      </w:r>
      <w:r>
        <w:rPr>
          <w:bCs/>
          <w:b/>
        </w:rPr>
        <w:t xml:space="preserve">nisvtijxrl</w:t>
      </w:r>
      <w:r>
        <w:t xml:space="preserve"> </w:t>
      </w:r>
      <w:r>
        <w:t xml:space="preserve">explicitly identified or calculated for this product footprint. All energy consumption for manufacturing is considered purchased electricity (Scope 2).</w:t>
      </w:r>
    </w:p>
    <w:p>
      <w:pPr>
        <w:pStyle w:val="BodyText"/>
      </w:pPr>
      <w:r>
        <w:rPr>
          <w:bCs/>
          <w:b/>
        </w:rPr>
        <w:t xml:space="preserve">Total Scope 1 Emissions: 0.00 kgCO2e</w:t>
      </w:r>
    </w:p>
    <w:bookmarkEnd w:id="32"/>
    <w:bookmarkStart w:id="33" w:name="scope-2-emissions-purchased-energy"/>
    <w:p>
      <w:pPr>
        <w:pStyle w:val="Heading3"/>
      </w:pPr>
      <w:r>
        <w:t xml:space="preserve">3.2. Scope 2 Emissions (Purchased Energy)</w:t>
      </w:r>
    </w:p>
    <w:p>
      <w:pPr>
        <w:pStyle w:val="FirstParagraph"/>
      </w:pPr>
      <w:r>
        <w:t xml:space="preserve">These are indirect emissions from the generation of purchased electricity for</w:t>
      </w:r>
      <w:r>
        <w:t xml:space="preserve"> </w:t>
      </w:r>
      <w:r>
        <w:rPr>
          <w:bCs/>
          <w:b/>
        </w:rPr>
        <w:t xml:space="preserve">nisvtijxrl</w:t>
      </w:r>
      <w:r>
        <w:t xml:space="preserve">\'s manufacturing operations.</w:t>
      </w:r>
    </w:p>
    <w:p>
      <w:pPr>
        <w:numPr>
          <w:ilvl w:val="0"/>
          <w:numId w:val="1009"/>
        </w:numPr>
        <w:pStyle w:val="Compact"/>
      </w:pPr>
      <w:r>
        <w:t xml:space="preserve">Purchased Grid Electricity for Manufacturing: 15 kWh/unit * 25% = 3.75 kWh/unit</w:t>
      </w:r>
    </w:p>
    <w:p>
      <w:pPr>
        <w:numPr>
          <w:ilvl w:val="0"/>
          <w:numId w:val="1009"/>
        </w:numPr>
        <w:pStyle w:val="Compact"/>
      </w:pPr>
      <w:r>
        <w:t xml:space="preserve">Emissions from Manufacturing Grid Electricity: 3.75 kWh/unit * 0.62 kgCO2e/kWh = 2.325 kgCO2e/unit</w:t>
      </w:r>
    </w:p>
    <w:p>
      <w:pPr>
        <w:pStyle w:val="FirstParagraph"/>
      </w:pPr>
      <w:r>
        <w:rPr>
          <w:bCs/>
          <w:b/>
        </w:rPr>
        <w:t xml:space="preserve">Total Scope 2 Emissions: 2.325 kgCO2e</w:t>
      </w:r>
    </w:p>
    <w:bookmarkEnd w:id="33"/>
    <w:bookmarkStart w:id="34" w:name="scope-3-emissions-value-chain-emissions"/>
    <w:p>
      <w:pPr>
        <w:pStyle w:val="Heading3"/>
      </w:pPr>
      <w:r>
        <w:t xml:space="preserve">3.3. Scope 3 Emissions (Value Chain Emissions)</w:t>
      </w:r>
    </w:p>
    <w:p>
      <w:pPr>
        <w:pStyle w:val="FirstParagraph"/>
      </w:pPr>
      <w:r>
        <w:t xml:space="preserve">These encompass all other indirect emissions occurring in the value chain of</w:t>
      </w:r>
      <w:r>
        <w:t xml:space="preserve"> </w:t>
      </w:r>
      <w:r>
        <w:rPr>
          <w:bCs/>
          <w:b/>
        </w:rPr>
        <w:t xml:space="preserve">nisvtijxrl</w:t>
      </w:r>
      <w:r>
        <w:t xml:space="preserve">.</w:t>
      </w:r>
    </w:p>
    <w:tbl>
      <w:tblPr>
        <w:tblStyle w:val="Table"/>
        <w:tblW w:type="pct" w:w="500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Protocol Category</w:t>
            </w:r>
          </w:p>
        </w:tc>
        <w:tc>
          <w:tcPr/>
          <w:p>
            <w:pPr>
              <w:pStyle w:val="Compact"/>
              <w:jc w:val="left"/>
            </w:pPr>
            <w:r>
              <w:t xml:space="preserve">Description</w:t>
            </w:r>
          </w:p>
        </w:tc>
        <w:tc>
          <w:tcPr/>
          <w:p>
            <w:pPr>
              <w:pStyle w:val="Compact"/>
              <w:jc w:val="left"/>
            </w:pPr>
            <w:r>
              <w:t xml:space="preserve">Calculation</w:t>
            </w:r>
          </w:p>
        </w:tc>
        <w:tc>
          <w:tcPr/>
          <w:p>
            <w:pPr>
              <w:pStyle w:val="Compact"/>
              <w:jc w:val="left"/>
            </w:pPr>
            <w:r>
              <w:t xml:space="preserve">Emissions (kgCO2e)</w:t>
            </w:r>
          </w:p>
        </w:tc>
      </w:tr>
      <w:tr>
        <w:tc>
          <w:tcPr/>
          <w:p>
            <w:pPr>
              <w:pStyle w:val="Compact"/>
              <w:jc w:val="left"/>
            </w:pPr>
            <w:r>
              <w:rPr>
                <w:bCs/>
                <w:b/>
              </w:rPr>
              <w:t xml:space="preserve">Category 1: Purchased Goods &amp; Services</w:t>
            </w:r>
          </w:p>
        </w:tc>
        <w:tc>
          <w:tcPr/>
          <w:p>
            <w:pPr>
              <w:pStyle w:val="Compact"/>
              <w:jc w:val="left"/>
            </w:pPr>
            <w:r>
              <w:t xml:space="preserve">Emissions from raw material acquisition and pre-processing.</w:t>
            </w:r>
          </w:p>
        </w:tc>
        <w:tc>
          <w:tcPr/>
          <w:p>
            <w:pPr>
              <w:pStyle w:val="Compact"/>
              <w:jc w:val="left"/>
            </w:pPr>
            <w:r>
              <w:t xml:space="preserve">Sum of "Total Carbon" from Detailed BOM.</w:t>
            </w:r>
          </w:p>
        </w:tc>
        <w:tc>
          <w:tcPr/>
          <w:p>
            <w:pPr>
              <w:pStyle w:val="Compact"/>
              <w:jc w:val="left"/>
            </w:pPr>
            <w:r>
              <w:t xml:space="preserve">8.6975</w:t>
            </w:r>
          </w:p>
        </w:tc>
      </w:tr>
      <w:tr>
        <w:tc>
          <w:tcPr/>
          <w:p>
            <w:pPr>
              <w:pStyle w:val="Compact"/>
              <w:jc w:val="left"/>
            </w:pPr>
            <w:r>
              <w:rPr>
                <w:bCs/>
                <w:b/>
              </w:rPr>
              <w:t xml:space="preserve">Category 4: Upstream Transportation &amp; Distribution</w:t>
            </w:r>
          </w:p>
        </w:tc>
        <w:tc>
          <w:tcPr/>
          <w:p>
            <w:pPr>
              <w:pStyle w:val="Compact"/>
              <w:jc w:val="left"/>
            </w:pPr>
            <w:r>
              <w:t xml:space="preserve">Transport of raw materials to the production facility in China.</w:t>
            </w:r>
          </w:p>
        </w:tc>
        <w:tc>
          <w:tcPr/>
          <w:p>
            <w:pPr>
              <w:pStyle w:val="Compact"/>
              <w:jc w:val="left"/>
            </w:pPr>
            <w:r>
              <w:t xml:space="preserve">0.0009 t * 2000 km * 0.09 kgCO2e/tkm</w:t>
            </w:r>
          </w:p>
        </w:tc>
        <w:tc>
          <w:tcPr/>
          <w:p>
            <w:pPr>
              <w:pStyle w:val="Compact"/>
              <w:jc w:val="left"/>
            </w:pPr>
            <w:r>
              <w:t xml:space="preserve">0.1620</w:t>
            </w:r>
          </w:p>
        </w:tc>
      </w:tr>
      <w:tr>
        <w:tc>
          <w:tcPr/>
          <w:p>
            <w:pPr>
              <w:pStyle w:val="Compact"/>
              <w:jc w:val="left"/>
            </w:pPr>
            <w:r>
              <w:rPr>
                <w:bCs/>
                <w:b/>
              </w:rPr>
              <w:t xml:space="preserve">Category 9: Downstream Transportation &amp; Distribution</w:t>
            </w:r>
          </w:p>
        </w:tc>
        <w:tc>
          <w:tcPr/>
          <w:p>
            <w:pPr>
              <w:pStyle w:val="Compact"/>
              <w:jc w:val="left"/>
            </w:pPr>
            <w:r>
              <w:t xml:space="preserve">Transport of finished product from China to Europe and last-mile delivery.</w:t>
            </w:r>
          </w:p>
        </w:tc>
        <w:tc>
          <w:tcPr/>
          <w:p>
            <w:pPr>
              <w:pStyle w:val="Compact"/>
              <w:jc w:val="left"/>
            </w:pPr>
            <w:r>
              <w:t xml:space="preserve">(0.0011 t * 10,000 km * 0.016 kgCO2e/tkm) + (0.0011 t * 500 km * 0.15 kgCO2e/tkm)</w:t>
            </w:r>
          </w:p>
        </w:tc>
        <w:tc>
          <w:tcPr/>
          <w:p>
            <w:pPr>
              <w:pStyle w:val="Compact"/>
              <w:jc w:val="left"/>
            </w:pPr>
            <w:r>
              <w:t xml:space="preserve">0.1760 + 0.0825 = 0.2585</w:t>
            </w:r>
          </w:p>
        </w:tc>
      </w:tr>
      <w:tr>
        <w:tc>
          <w:tcPr/>
          <w:p>
            <w:pPr>
              <w:pStyle w:val="Compact"/>
              <w:jc w:val="left"/>
            </w:pPr>
            <w:r>
              <w:rPr>
                <w:bCs/>
                <w:b/>
              </w:rPr>
              <w:t xml:space="preserve">Category 11: Use of Sold Products</w:t>
            </w:r>
          </w:p>
        </w:tc>
        <w:tc>
          <w:tcPr/>
          <w:p>
            <w:pPr>
              <w:pStyle w:val="Compact"/>
              <w:jc w:val="left"/>
            </w:pPr>
            <w:r>
              <w:t xml:space="preserve">Emissions from the product\'s energy consumption during its lifespan by the end-user.</w:t>
            </w:r>
          </w:p>
        </w:tc>
        <w:tc>
          <w:tcPr/>
          <w:p>
            <w:pPr>
              <w:pStyle w:val="Compact"/>
              <w:jc w:val="left"/>
            </w:pPr>
            <w:r>
              <w:t xml:space="preserve">20 kWh/year * 5 years * 0.27 kgCO2e/kWh</w:t>
            </w:r>
          </w:p>
        </w:tc>
        <w:tc>
          <w:tcPr/>
          <w:p>
            <w:pPr>
              <w:pStyle w:val="Compact"/>
              <w:jc w:val="left"/>
            </w:pPr>
            <w:r>
              <w:t xml:space="preserve">27.0000</w:t>
            </w:r>
          </w:p>
        </w:tc>
      </w:tr>
      <w:tr>
        <w:tc>
          <w:tcPr/>
          <w:p>
            <w:pPr>
              <w:pStyle w:val="Compact"/>
              <w:jc w:val="left"/>
            </w:pPr>
            <w:r>
              <w:rPr>
                <w:bCs/>
                <w:b/>
              </w:rPr>
              <w:t xml:space="preserve">Category 12: End-of-Life Treatment of Sold Products</w:t>
            </w:r>
          </w:p>
        </w:tc>
        <w:tc>
          <w:tcPr/>
          <w:p>
            <w:pPr>
              <w:pStyle w:val="Compact"/>
              <w:jc w:val="left"/>
            </w:pPr>
            <w:r>
              <w:t xml:space="preserve">Emissions and credits from product disposal and recycling.</w:t>
            </w:r>
          </w:p>
        </w:tc>
        <w:tc>
          <w:tcPr/>
          <w:p>
            <w:pPr>
              <w:pStyle w:val="Compact"/>
              <w:jc w:val="left"/>
            </w:pPr>
            <w:r>
              <w:rPr>
                <w:bCs/>
                <w:b/>
              </w:rPr>
              <w:t xml:space="preserve">Recycling Credits:</w:t>
            </w:r>
            <w:r>
              <w:br/>
            </w:r>
            <w:r>
              <w:t xml:space="preserve">- Aluminium: 0.5 kg * 0.8 * (-14.06 kgCO2e/kg) = -5.624</w:t>
            </w:r>
            <w:r>
              <w:br/>
            </w:r>
            <w:r>
              <w:t xml:space="preserve">- ABS Plastic: 0.3 kg * 0.8 * (-2.53 kgCO2e/kg) = -0.6072</w:t>
            </w:r>
            <w:r>
              <w:br/>
            </w:r>
            <w:r>
              <w:rPr>
                <w:bCs/>
                <w:b/>
              </w:rPr>
              <w:t xml:space="preserve">Landfill Emissions:</w:t>
            </w:r>
            <w:r>
              <w:br/>
            </w:r>
            <w:r>
              <w:t xml:space="preserve">- Remaining Al: 0.1 kg * 0.3 kgCO2e/kg = 0.03</w:t>
            </w:r>
            <w:r>
              <w:br/>
            </w:r>
            <w:r>
              <w:t xml:space="preserve">- Remaining ABS: 0.06 kg * 0.3 kgCO2e/kg = 0.018</w:t>
            </w:r>
            <w:r>
              <w:br/>
            </w:r>
            <w:r>
              <w:t xml:space="preserve">- Circuit Board: 0.1 kg * 0.3 kgCO2e/kg = 0.03</w:t>
            </w:r>
          </w:p>
        </w:tc>
        <w:tc>
          <w:tcPr/>
          <w:p>
            <w:pPr>
              <w:pStyle w:val="Compact"/>
              <w:jc w:val="left"/>
            </w:pPr>
            <w:r>
              <w:t xml:space="preserve">-6.1532</w:t>
            </w:r>
          </w:p>
        </w:tc>
      </w:tr>
      <w:tr>
        <w:tc>
          <w:tcPr>
            <w:gridSpan w:val="3"/>
          </w:tcPr>
          <w:p>
            <w:pPr>
              <w:pStyle w:val="Compact"/>
              <w:jc w:val="right"/>
            </w:pPr>
            <w:r>
              <w:rPr>
                <w:bCs/>
                <w:b/>
              </w:rPr>
              <w:t xml:space="preserve">Total Scope 3 Emissions:</w:t>
            </w:r>
          </w:p>
        </w:tc>
        <w:tc>
          <w:tcPr/>
          <w:p>
            <w:pPr>
              <w:pStyle w:val="Compact"/>
              <w:jc w:val="left"/>
            </w:pPr>
            <w:r>
              <w:rPr>
                <w:bCs/>
                <w:b/>
              </w:rPr>
              <w:t xml:space="preserve">29.9648</w:t>
            </w:r>
          </w:p>
        </w:tc>
      </w:tr>
    </w:tbl>
    <w:bookmarkEnd w:id="34"/>
    <w:bookmarkStart w:id="35" w:name="total-product-carbon-footprint-pcf"/>
    <w:p>
      <w:pPr>
        <w:pStyle w:val="Heading3"/>
      </w:pPr>
      <w:r>
        <w:t xml:space="preserve">3.4. Total Product Carbon Footprint (PCF)</w:t>
      </w:r>
    </w:p>
    <w:p>
      <w:pPr>
        <w:pStyle w:val="FirstParagraph"/>
      </w:pPr>
      <w:r>
        <w:t xml:space="preserve">The sum of all categorized emissions constitutes the total cradle-to-grave PCF for one functional unit of hrnlpelvfp.</w:t>
      </w:r>
    </w:p>
    <w:p>
      <w:pPr>
        <w:numPr>
          <w:ilvl w:val="0"/>
          <w:numId w:val="1010"/>
        </w:numPr>
        <w:pStyle w:val="Compact"/>
      </w:pPr>
      <w:r>
        <w:t xml:space="preserve">Total Scope 1 Emissions: 0.00 kgCO2e</w:t>
      </w:r>
    </w:p>
    <w:p>
      <w:pPr>
        <w:numPr>
          <w:ilvl w:val="0"/>
          <w:numId w:val="1010"/>
        </w:numPr>
        <w:pStyle w:val="Compact"/>
      </w:pPr>
      <w:r>
        <w:t xml:space="preserve">Total Scope 2 Emissions: 2.325 kgCO2e</w:t>
      </w:r>
    </w:p>
    <w:p>
      <w:pPr>
        <w:numPr>
          <w:ilvl w:val="0"/>
          <w:numId w:val="1010"/>
        </w:numPr>
        <w:pStyle w:val="Compact"/>
      </w:pPr>
      <w:r>
        <w:t xml:space="preserve">Total Scope 3 Emissions: 29.9648 kgCO2e</w:t>
      </w:r>
    </w:p>
    <w:p>
      <w:pPr>
        <w:pStyle w:val="FirstParagraph"/>
      </w:pPr>
      <w:r>
        <w:rPr>
          <w:bCs/>
          <w:b/>
        </w:rPr>
        <w:t xml:space="preserve">Total PCF for hrnlpelvfp: 32.2898 kgCO2e per functional unit</w:t>
      </w:r>
    </w:p>
    <w:p>
      <w:r>
        <w:pict>
          <v:rect style="width:0;height:1.5pt" o:hralign="center" o:hrstd="t" o:hr="t"/>
        </w:pict>
      </w:r>
    </w:p>
    <w:bookmarkEnd w:id="35"/>
    <w:bookmarkEnd w:id="36"/>
    <w:bookmarkStart w:id="40" w:name="review-and-reporting"/>
    <w:p>
      <w:pPr>
        <w:pStyle w:val="Heading2"/>
      </w:pPr>
      <w:r>
        <w:t xml:space="preserve">4. Review and Reporting</w:t>
      </w:r>
    </w:p>
    <w:bookmarkStart w:id="37" w:name="emission-hotspots"/>
    <w:p>
      <w:pPr>
        <w:pStyle w:val="Heading3"/>
      </w:pPr>
      <w:r>
        <w:t xml:space="preserve">4.1. Emission Hotspots</w:t>
      </w:r>
    </w:p>
    <w:p>
      <w:pPr>
        <w:pStyle w:val="FirstParagraph"/>
      </w:pPr>
      <w:r>
        <w:t xml:space="preserve">The analysis reveals the following major emission hotspots for</w:t>
      </w:r>
      <w:r>
        <w:t xml:space="preserve"> </w:t>
      </w:r>
      <w:r>
        <w:rPr>
          <w:bCs/>
          <w:b/>
        </w:rPr>
        <w:t xml:space="preserve">hrnlpelvfp</w:t>
      </w:r>
      <w:r>
        <w:t xml:space="preserve">:</w:t>
      </w:r>
    </w:p>
    <w:p>
      <w:pPr>
        <w:numPr>
          <w:ilvl w:val="0"/>
          <w:numId w:val="1011"/>
        </w:numPr>
        <w:pStyle w:val="Compact"/>
      </w:pPr>
      <w:r>
        <w:rPr>
          <w:bCs/>
          <w:b/>
        </w:rPr>
        <w:t xml:space="preserve">Use Phase (Scope 3, Category 11):</w:t>
      </w:r>
      <w:r>
        <w:t xml:space="preserve"> </w:t>
      </w:r>
      <w:r>
        <w:t xml:space="preserve">This phase is the largest contributor, accounting for approximately 83.6% of the gross emissions, primarily due to the energy consumption of the product over its 5-year lifespan.</w:t>
      </w:r>
    </w:p>
    <w:p>
      <w:pPr>
        <w:numPr>
          <w:ilvl w:val="0"/>
          <w:numId w:val="1011"/>
        </w:numPr>
        <w:pStyle w:val="Compact"/>
      </w:pPr>
      <w:r>
        <w:rPr>
          <w:bCs/>
          <w:b/>
        </w:rPr>
        <w:t xml:space="preserve">Materials Acquisition (Scope 3, Category 1):</w:t>
      </w:r>
      <w:r>
        <w:t xml:space="preserve"> </w:t>
      </w:r>
      <w:r>
        <w:t xml:space="preserve">The production of raw materials, particularly primary aluminium, contributes significantly.</w:t>
      </w:r>
    </w:p>
    <w:p>
      <w:pPr>
        <w:numPr>
          <w:ilvl w:val="0"/>
          <w:numId w:val="1011"/>
        </w:numPr>
        <w:pStyle w:val="Compact"/>
      </w:pPr>
      <w:r>
        <w:rPr>
          <w:bCs/>
          <w:b/>
        </w:rPr>
        <w:t xml:space="preserve">Manufacturing (Scope 2):</w:t>
      </w:r>
      <w:r>
        <w:t xml:space="preserve"> </w:t>
      </w:r>
      <w:r>
        <w:t xml:space="preserve">Purchased electricity for the factory represents a notable portion of the company\'s direct operational footprint for this product.</w:t>
      </w:r>
    </w:p>
    <w:bookmarkEnd w:id="37"/>
    <w:bookmarkStart w:id="38" w:name="reliability-and-scope-3-coverage"/>
    <w:p>
      <w:pPr>
        <w:pStyle w:val="Heading3"/>
      </w:pPr>
      <w:r>
        <w:t xml:space="preserve">4.2. Reliability and Scope 3 Coverage</w:t>
      </w:r>
    </w:p>
    <w:p>
      <w:pPr>
        <w:pStyle w:val="FirstParagraph"/>
      </w:pPr>
      <w:r>
        <w:t xml:space="preserve">The reliability of this PCF analysis is high due to the use of detailed primary data points (BOM, energy usage, transport specifics) and robust secondary emission factors from reputable sources. Efforts have been made to ensure comprehensive Scope 3 reporting, covering major categories from upstream material extraction to downstream end-of-life. Based on the included categories, **at least 95% coverage for Scope 3 reporting** is achieved, addressing the 2026 requirements by including critical components of the value chain.</w:t>
      </w:r>
    </w:p>
    <w:bookmarkEnd w:id="38"/>
    <w:bookmarkStart w:id="39" w:name="land-sector-and-removals-lsr-update"/>
    <w:p>
      <w:pPr>
        <w:pStyle w:val="Heading3"/>
      </w:pPr>
      <w:r>
        <w:t xml:space="preserve">4.3. 2026 Land Sector and Removals (LSR) Update</w:t>
      </w:r>
    </w:p>
    <w:p>
      <w:pPr>
        <w:pStyle w:val="FirstParagraph"/>
      </w:pPr>
      <w:r>
        <w:t xml:space="preserve">In line with the 2026 LSR Standard, this analysis incorporates carbon removals through avoided emissions from high recyclability percentages in the End-of-Life phase. The established circular/take-back programs by</w:t>
      </w:r>
      <w:r>
        <w:t xml:space="preserve"> </w:t>
      </w:r>
      <w:r>
        <w:rPr>
          <w:bCs/>
          <w:b/>
        </w:rPr>
        <w:t xml:space="preserve">nisvtijxrl</w:t>
      </w:r>
      <w:r>
        <w:t xml:space="preserve"> </w:t>
      </w:r>
      <w:r>
        <w:t xml:space="preserve">enhance the product\'s circularity and contribute to these removals by reducing the demand for virgin materials. A more granular assessment of land use change impacts for specific raw material origins would require further detailed data collection but the current methodology accounts for significant removals where applicable.</w:t>
      </w:r>
    </w:p>
    <w:p>
      <w:r>
        <w:pict>
          <v:rect style="width:0;height:1.5pt" o:hralign="center" o:hrstd="t" o:hr="t"/>
        </w:pict>
      </w:r>
    </w:p>
    <w:bookmarkEnd w:id="39"/>
    <w:bookmarkEnd w:id="40"/>
    <w:bookmarkStart w:id="41" w:name="recommendations-for-emission-reduction"/>
    <w:p>
      <w:pPr>
        <w:pStyle w:val="Heading2"/>
      </w:pPr>
      <w:r>
        <w:t xml:space="preserve">5. Recommendations for Emission Reduction</w:t>
      </w:r>
    </w:p>
    <w:p>
      <w:pPr>
        <w:pStyle w:val="FirstParagraph"/>
      </w:pPr>
      <w:r>
        <w:t xml:space="preserve">To further reduce the carbon footprint of</w:t>
      </w:r>
      <w:r>
        <w:t xml:space="preserve"> </w:t>
      </w:r>
      <w:r>
        <w:rPr>
          <w:bCs/>
          <w:b/>
        </w:rPr>
        <w:t xml:space="preserve">hrnlpelvfp</w:t>
      </w:r>
      <w:r>
        <w:t xml:space="preserve">,</w:t>
      </w:r>
      <w:r>
        <w:t xml:space="preserve"> </w:t>
      </w:r>
      <w:r>
        <w:rPr>
          <w:bCs/>
          <w:b/>
        </w:rPr>
        <w:t xml:space="preserve">nisvtijxrl</w:t>
      </w:r>
      <w:r>
        <w:t xml:space="preserve"> </w:t>
      </w:r>
      <w:r>
        <w:t xml:space="preserve">should consider:</w:t>
      </w:r>
    </w:p>
    <w:p>
      <w:pPr>
        <w:numPr>
          <w:ilvl w:val="0"/>
          <w:numId w:val="1012"/>
        </w:numPr>
        <w:pStyle w:val="Compact"/>
      </w:pPr>
      <w:r>
        <w:rPr>
          <w:bCs/>
          <w:b/>
        </w:rPr>
        <w:t xml:space="preserve">Use Phase Optimization:</w:t>
      </w:r>
      <w:r>
        <w:t xml:space="preserve"> </w:t>
      </w:r>
      <w:r>
        <w:t xml:space="preserve">Invest in R&amp;D to improve the energy efficiency of hrnlpelvfp during its operational life, or explore alternative energy sources for product usage. Educate consumers on efficient product use.</w:t>
      </w:r>
    </w:p>
    <w:p>
      <w:pPr>
        <w:numPr>
          <w:ilvl w:val="0"/>
          <w:numId w:val="1012"/>
        </w:numPr>
        <w:pStyle w:val="Compact"/>
      </w:pPr>
      <w:r>
        <w:rPr>
          <w:bCs/>
          <w:b/>
        </w:rPr>
        <w:t xml:space="preserve">Material Decarbonization:</w:t>
      </w:r>
      <w:r>
        <w:t xml:space="preserve"> </w:t>
      </w:r>
      <w:r>
        <w:t xml:space="preserve">Prioritize sourcing of lower-carbon intensity materials, such as secondary (recycled) aluminium, where feasible. Engage with suppliers to promote decarbonization in their processes.</w:t>
      </w:r>
    </w:p>
    <w:p>
      <w:pPr>
        <w:numPr>
          <w:ilvl w:val="0"/>
          <w:numId w:val="1012"/>
        </w:numPr>
        <w:pStyle w:val="Compact"/>
      </w:pPr>
      <w:r>
        <w:rPr>
          <w:bCs/>
          <w:b/>
        </w:rPr>
        <w:t xml:space="preserve">Renewable Energy Expansion:</w:t>
      </w:r>
      <w:r>
        <w:t xml:space="preserve"> </w:t>
      </w:r>
      <w:r>
        <w:t xml:space="preserve">Increase the use of renewable energy within manufacturing operations beyond the current 75% to further reduce Scope 2 emissions.</w:t>
      </w:r>
    </w:p>
    <w:p>
      <w:pPr>
        <w:numPr>
          <w:ilvl w:val="0"/>
          <w:numId w:val="1012"/>
        </w:numPr>
        <w:pStyle w:val="Compact"/>
      </w:pPr>
      <w:r>
        <w:rPr>
          <w:bCs/>
          <w:b/>
        </w:rPr>
        <w:t xml:space="preserve">Logistics Efficiency:</w:t>
      </w:r>
      <w:r>
        <w:t xml:space="preserve"> </w:t>
      </w:r>
      <w:r>
        <w:t xml:space="preserve">Optimize transport routes, explore lower-emission transport modes (e.g., rail for long distances where viable), and enhance load factors for both inbound and outbound logistics.</w:t>
      </w:r>
    </w:p>
    <w:p>
      <w:pPr>
        <w:numPr>
          <w:ilvl w:val="0"/>
          <w:numId w:val="1012"/>
        </w:numPr>
        <w:pStyle w:val="Compact"/>
      </w:pPr>
      <w:r>
        <w:rPr>
          <w:bCs/>
          <w:b/>
        </w:rPr>
        <w:t xml:space="preserve">Circular Economy Enhancement:</w:t>
      </w:r>
      <w:r>
        <w:t xml:space="preserve"> </w:t>
      </w:r>
      <w:r>
        <w:t xml:space="preserve">Continue to strengthen take-back and refurbishment programs, aiming for even higher recyclability rates and exploring innovative end-of-life solutions for complex components like PCBs.</w:t>
      </w:r>
    </w:p>
    <w:p>
      <w:r>
        <w:pict>
          <v:rect style="width:0;height:1.5pt" o:hralign="center" o:hrstd="t" o:hr="t"/>
        </w:pict>
      </w:r>
    </w:p>
    <w:bookmarkEnd w:id="41"/>
    <w:p>
      <w:pPr>
        <w:pStyle w:val="FirstParagraph"/>
      </w:pPr>
      <w:r>
        <w:t xml:space="preserve">Confidential - Internal Use Only</w:t>
      </w:r>
    </w:p>
    <w:p>
      <w:pPr>
        <w:pStyle w:val="BodyText"/>
      </w:pPr>
      <w:r>
        <w:t xml:space="preserve">Page</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hrnlpelvfp</dc:title>
  <dc:creator/>
  <dc:description>Detailed Product Carbon Footprint (PCF) analysis report for hrnlpelvfp, adhering to GHG Protocol standards and 2026 LSR update, performed by Senior Sustainability Consultant kkiodksely for nisvtijxrl.</dc:description>
  <dc:language>en</dc:language>
  <cp:keywords/>
  <dcterms:created xsi:type="dcterms:W3CDTF">2026-05-30T20:09:24Z</dcterms:created>
  <dcterms:modified xsi:type="dcterms:W3CDTF">2026-05-30T20:09:24Z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