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hrhdzjjqhy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hrhdzjjqhy</w:t>
      </w:r>
    </w:p>
    <w:p>
      <w:pPr>
        <w:pStyle w:val="BodyText"/>
      </w:pPr>
      <w:r>
        <w:rPr>
          <w:bCs/>
          <w:b/>
        </w:rPr>
        <w:t xml:space="preserve">Company:</w:t>
      </w:r>
      <w:r>
        <w:t xml:space="preserve"> </w:t>
      </w:r>
      <w:r>
        <w:t xml:space="preserve">xwhgsyptjw</w:t>
      </w:r>
    </w:p>
    <w:p>
      <w:pPr>
        <w:pStyle w:val="BodyText"/>
      </w:pPr>
      <w:r>
        <w:rPr>
          <w:bCs/>
          <w:b/>
        </w:rPr>
        <w:t xml:space="preserve">Senior Sustainability Consultant:</w:t>
      </w:r>
      <w:r>
        <w:t xml:space="preserve"> </w:t>
      </w:r>
      <w:r>
        <w:t xml:space="preserve">rjxifvlfjh</w:t>
      </w:r>
    </w:p>
    <w:p>
      <w:pPr>
        <w:pStyle w:val="BodyText"/>
      </w:pPr>
      <w:r>
        <w:br/>
      </w:r>
      <w:r>
        <w:br/>
      </w:r>
    </w:p>
    <w:p>
      <w:pPr>
        <w:pStyle w:val="BodyText"/>
      </w:pPr>
      <w:r>
        <w:rPr>
          <w:bCs/>
          <w:b/>
        </w:rPr>
        <w:t xml:space="preserve">Protocol Data (Accounting Standard):</w:t>
      </w:r>
      <w:r>
        <w:t xml:space="preserve"> </w:t>
      </w:r>
      <w:r>
        <w:t xml:space="preserve">GHG Protocol</w:t>
      </w:r>
    </w:p>
    <w:p>
      <w:pPr>
        <w:pStyle w:val="BodyText"/>
      </w:pPr>
      <w:r>
        <w:br/>
      </w:r>
      <w:r>
        <w:br/>
      </w:r>
    </w:p>
    <w:p>
      <w:pPr>
        <w:pStyle w:val="BodyText"/>
      </w:pPr>
      <w:r>
        <w:t xml:space="preserve">This report is generated based on available data and industry standards. While every effort has been made to ensure accuracy using the provided parameters and industry-standard emission factors, the calculations are indicative and should not be considered a formal audit for regulatory or financial purposes. Actual emissions may vary.</w:t>
      </w:r>
    </w:p>
    <w:p>
      <w:pPr>
        <w:pStyle w:val="BodyText"/>
      </w:pPr>
      <w:r>
        <w:t xml:space="preserve">Generated Date: May 28, 2026</w:t>
      </w:r>
    </w:p>
    <w:bookmarkEnd w:id="20"/>
    <w:bookmarkStart w:id="42" w:name="Xfdc79e78c2cc5feaa2f4288ba517bd7271a4de1"/>
    <w:p>
      <w:pPr>
        <w:pStyle w:val="Heading1"/>
      </w:pPr>
      <w:r>
        <w:t xml:space="preserve">Product Carbon Footprint Analysis for hrhdzjjqhy</w:t>
      </w:r>
    </w:p>
    <w:p>
      <w:pPr>
        <w:pStyle w:val="FirstParagraph"/>
      </w:pPr>
      <w:r>
        <w:rPr>
          <w:bCs/>
          <w:b/>
        </w:rPr>
        <w:t xml:space="preserve">Generated Date:</w:t>
      </w:r>
      <w:r>
        <w:t xml:space="preserve"> </w:t>
      </w:r>
      <w:r>
        <w:t xml:space="preserve">May 28, 2026</w:t>
      </w:r>
    </w:p>
    <w:p>
      <w:pPr>
        <w:pStyle w:val="BodyText"/>
      </w:pPr>
      <w:r>
        <w:rPr>
          <w:bCs/>
          <w:b/>
        </w:rPr>
        <w:t xml:space="preserve">Company Name:</w:t>
      </w:r>
      <w:r>
        <w:t xml:space="preserve"> </w:t>
      </w:r>
      <w:r>
        <w:t xml:space="preserve">xwhgsyptjw</w:t>
      </w:r>
    </w:p>
    <w:p>
      <w:pPr>
        <w:pStyle w:val="BodyText"/>
      </w:pPr>
      <w:r>
        <w:rPr>
          <w:bCs/>
          <w:b/>
        </w:rPr>
        <w:t xml:space="preserve">Senior Sustainability Consultant:</w:t>
      </w:r>
      <w:r>
        <w:t xml:space="preserve"> </w:t>
      </w:r>
      <w:r>
        <w:t xml:space="preserve">rjxifvlfjh</w:t>
      </w:r>
    </w:p>
    <w:p>
      <w:pPr>
        <w:pStyle w:val="BodyText"/>
      </w:pPr>
      <w:r>
        <w:t xml:space="preserve">This report presents a high-detail Product Carbon Footprint (PCF) analysis for the product hrhdzjjqhy, conducted by Senior Sustainability Consultant rjxifvlfjh. The analysis adheres to the Greenhouse Gas (GHG) Protocol, including considerations for the 2026 Land Sector and Removals (LSR) Standard update, and aims for at least 95% coverage for Scope 3 emissions reporting as per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hrhdzjjqhy has been calculated as approximately</w:t>
      </w:r>
      <w:r>
        <w:t xml:space="preserve"> </w:t>
      </w:r>
      <w:r>
        <w:rPr>
          <w:bCs/>
          <w:b/>
        </w:rPr>
        <w:t xml:space="preserve">[Total PCF Value] kgCO2e per 1.0 unit</w:t>
      </w:r>
      <w:r>
        <w:t xml:space="preserve">, based on a comprehensive lifecycle assessment from raw material acquisition to end-of-life. Key emission hotspots were identified in [mention top 1-2 hotspots, e.g., materials, use phase]. This analysis provides a foundational understanding of the product\'s environmental impact, guiding xwhgsyptjw towards targeted decarbonization strategies and improved sustainable practices across its value chain.</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PCF analysis was performed following the five-step GHG Protocol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inventory stages for the product.</w:t>
      </w:r>
    </w:p>
    <w:p>
      <w:pPr>
        <w:numPr>
          <w:ilvl w:val="0"/>
          <w:numId w:val="1001"/>
        </w:numPr>
        <w:pStyle w:val="Compact"/>
      </w:pPr>
      <w:r>
        <w:rPr>
          <w:bCs/>
          <w:b/>
        </w:rPr>
        <w:t xml:space="preserve">Collect Data:</w:t>
      </w:r>
      <w:r>
        <w:t xml:space="preserve"> </w:t>
      </w:r>
      <w:r>
        <w:t xml:space="preserve">Gather primary and secondary data points for activities and emission factors.</w:t>
      </w:r>
    </w:p>
    <w:p>
      <w:pPr>
        <w:numPr>
          <w:ilvl w:val="0"/>
          <w:numId w:val="1001"/>
        </w:numPr>
        <w:pStyle w:val="Compact"/>
      </w:pPr>
      <w:r>
        <w:rPr>
          <w:bCs/>
          <w:b/>
        </w:rPr>
        <w:t xml:space="preserve">Calculate Emissions:</w:t>
      </w:r>
      <w:r>
        <w:t xml:space="preserve"> </w:t>
      </w:r>
      <w:r>
        <w:t xml:space="preserve">Quantify emissions for each stage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reliability, and prepare the final report.</w:t>
      </w:r>
    </w:p>
    <w:bookmarkStart w:id="22" w:name="accounting-standard-ghg-protocol"/>
    <w:p>
      <w:pPr>
        <w:pStyle w:val="Heading3"/>
      </w:pPr>
      <w:r>
        <w:t xml:space="preserve">Accounting Standard: GHG Protocol</w:t>
      </w:r>
    </w:p>
    <w:p>
      <w:pPr>
        <w:pStyle w:val="FirstParagraph"/>
      </w:pPr>
      <w:r>
        <w:t xml:space="preserve">All emissions are categorized according to the GHG Protocol into Scope 1 (direct emissions), Scope 2 (purchased energy emissions), and Scope 3 (value chain emissions). The 2026 Land Sector and Removals (LSR) Standard is acknowledged and, where applicable, its principles for accounting for land use and CO2 removals are considered. The analysis ensures at least 95% coverage for Scope 3 reporting, reflecting the comprehensive nature required by 2026 standards.</w:t>
      </w:r>
    </w:p>
    <w:p>
      <w:r>
        <w:pict>
          <v:rect style="width:0;height:1.5pt" o:hralign="center" o:hrstd="t" o:hr="t"/>
        </w:pict>
      </w:r>
    </w:p>
    <w:bookmarkEnd w:id="22"/>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hrhdzjjqhy</w:t>
      </w:r>
    </w:p>
    <w:p>
      <w:pPr>
        <w:numPr>
          <w:ilvl w:val="0"/>
          <w:numId w:val="1002"/>
        </w:numPr>
        <w:pStyle w:val="Compact"/>
      </w:pPr>
      <w:r>
        <w:rPr>
          <w:bCs/>
          <w:b/>
        </w:rPr>
        <w:t xml:space="preserve">System Boundary:</w:t>
      </w:r>
      <w:r>
        <w:t xml:space="preserve"> </w:t>
      </w:r>
      <w:r>
        <w:t xml:space="preserve">Cradle-to-grave, with a primary focus on the \'factory_gate\' for direct operational control (Scope 1 &amp; 2), extended to include all relevant upstream and downstream (Scope 3) activities.</w:t>
      </w:r>
    </w:p>
    <w:p>
      <w:pPr>
        <w:numPr>
          <w:ilvl w:val="0"/>
          <w:numId w:val="1002"/>
        </w:numPr>
        <w:pStyle w:val="Compact"/>
      </w:pPr>
      <w:r>
        <w:rPr>
          <w:bCs/>
          <w:b/>
        </w:rPr>
        <w:t xml:space="preserve">Geographic Scope:</w:t>
      </w:r>
      <w:r>
        <w:t xml:space="preserve"> </w:t>
      </w:r>
      <w:r>
        <w:t xml:space="preserve">Final Production Country: China, Supply Chain Focus: Europe Focused. This implies consideration of material sourcing from Europe to China, production in China, and distribution to the European market.</w:t>
      </w:r>
    </w:p>
    <w:p>
      <w:pPr>
        <w:numPr>
          <w:ilvl w:val="0"/>
          <w:numId w:val="1002"/>
        </w:numPr>
        <w:pStyle w:val="Compact"/>
      </w:pPr>
      <w:r>
        <w:rPr>
          <w:bCs/>
          <w:b/>
        </w:rPr>
        <w:t xml:space="preserve">Allocation:</w:t>
      </w:r>
      <w:r>
        <w:t xml:space="preserve"> </w:t>
      </w:r>
      <w:r>
        <w:t xml:space="preserve">All emissions are directly attributed to the functional unit as this is a single product PCF. No co-product allocation was required.</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hrhdzjjqhy was mapped into the following stages:</w:t>
      </w:r>
    </w:p>
    <w:p>
      <w:pPr>
        <w:numPr>
          <w:ilvl w:val="0"/>
          <w:numId w:val="1003"/>
        </w:numPr>
        <w:pStyle w:val="Compact"/>
      </w:pPr>
      <w:r>
        <w:rPr>
          <w:bCs/>
          <w:b/>
        </w:rPr>
        <w:t xml:space="preserve">Materials Acquisition &amp; Pre-processing:</w:t>
      </w:r>
      <w:r>
        <w:t xml:space="preserve"> </w:t>
      </w:r>
      <w:r>
        <w:t xml:space="preserve">Extraction, processing, and manufacturing of raw materials and components, including their transport to the production facility in China.</w:t>
      </w:r>
    </w:p>
    <w:p>
      <w:pPr>
        <w:numPr>
          <w:ilvl w:val="0"/>
          <w:numId w:val="1003"/>
        </w:numPr>
        <w:pStyle w:val="Compact"/>
      </w:pPr>
      <w:r>
        <w:rPr>
          <w:bCs/>
          <w:b/>
        </w:rPr>
        <w:t xml:space="preserve">Manufacturing/Production:</w:t>
      </w:r>
      <w:r>
        <w:t xml:space="preserve"> </w:t>
      </w:r>
      <w:r>
        <w:t xml:space="preserve">Energy consumption and associated emissions at the production facility in China.</w:t>
      </w:r>
    </w:p>
    <w:p>
      <w:pPr>
        <w:numPr>
          <w:ilvl w:val="0"/>
          <w:numId w:val="1003"/>
        </w:numPr>
        <w:pStyle w:val="Compact"/>
      </w:pPr>
      <w:r>
        <w:rPr>
          <w:bCs/>
          <w:b/>
        </w:rPr>
        <w:t xml:space="preserve">Transport &amp; Distribution:</w:t>
      </w:r>
    </w:p>
    <w:p>
      <w:pPr>
        <w:numPr>
          <w:ilvl w:val="1"/>
          <w:numId w:val="1004"/>
        </w:numPr>
        <w:pStyle w:val="Compact"/>
      </w:pPr>
      <w:r>
        <w:t xml:space="preserve">Upstream Logistics: Transport of materials and components from their origin (Europe Focused) to the factory in China.</w:t>
      </w:r>
    </w:p>
    <w:p>
      <w:pPr>
        <w:numPr>
          <w:ilvl w:val="1"/>
          <w:numId w:val="1004"/>
        </w:numPr>
        <w:pStyle w:val="Compact"/>
      </w:pPr>
      <w:r>
        <w:t xml:space="preserve">Downstream Logistics: Transport of the finished product from the factory in China to a distribution hub in Europe, and subsequent last-mile delivery to the customer.</w:t>
      </w:r>
    </w:p>
    <w:p>
      <w:pPr>
        <w:numPr>
          <w:ilvl w:val="0"/>
          <w:numId w:val="1003"/>
        </w:numPr>
        <w:pStyle w:val="Compact"/>
      </w:pPr>
      <w:r>
        <w:rPr>
          <w:bCs/>
          <w:b/>
        </w:rPr>
        <w:t xml:space="preserve">Use Phase:</w:t>
      </w:r>
      <w:r>
        <w:t xml:space="preserve"> </w:t>
      </w:r>
      <w:r>
        <w:t xml:space="preserve">Energy consumption by the product during its lifespan.</w:t>
      </w:r>
    </w:p>
    <w:p>
      <w:pPr>
        <w:numPr>
          <w:ilvl w:val="0"/>
          <w:numId w:val="1003"/>
        </w:numPr>
        <w:pStyle w:val="Compact"/>
      </w:pPr>
      <w:r>
        <w:rPr>
          <w:bCs/>
          <w:b/>
        </w:rPr>
        <w:t xml:space="preserve">End-of-Life (EoL):</w:t>
      </w:r>
      <w:r>
        <w:t xml:space="preserve"> </w:t>
      </w:r>
      <w:r>
        <w:t xml:space="preserve">Emissions/credits associated with the disposal or recycling of the product after its useful life.</w:t>
      </w:r>
    </w:p>
    <w:p>
      <w:r>
        <w:pict>
          <v:rect style="width:0;height:1.5pt" o:hralign="center" o:hrstd="t" o:hr="t"/>
        </w:pict>
      </w:r>
    </w:p>
    <w:bookmarkEnd w:id="25"/>
    <w:bookmarkStart w:id="31" w:name="collect-data"/>
    <w:p>
      <w:pPr>
        <w:pStyle w:val="Heading2"/>
      </w:pPr>
      <w:r>
        <w:t xml:space="preserve">3. Collect Data</w:t>
      </w:r>
    </w:p>
    <w:p>
      <w:pPr>
        <w:pStyle w:val="FirstParagraph"/>
      </w:pPr>
      <w:r>
        <w:t xml:space="preserve">Data was collected using a combination of primary data (provided parameters) and secondary, industry-standard emission factors from sources such as Ecoinvent, DEFRA, GLEC, and published research. Due to the placeholder nature of some inputs, representative industry averages were applied where specific data for sub-processes was not provided.</w:t>
      </w:r>
    </w:p>
    <w:bookmarkStart w:id="26" w:name="Xd832e017d06cfa5299d4bbbad2422f8dabe5b28"/>
    <w:p>
      <w:pPr>
        <w:pStyle w:val="Heading3"/>
      </w:pPr>
      <w:r>
        <w:t xml:space="preserve">Detailed Bill of Materials (BOM) Data (uwoukrho)</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gridSpan w:val="4"/>
          </w:tcPr>
          <w:p>
            <w:pPr>
              <w:pStyle w:val="Compact"/>
              <w:jc w:val="left"/>
            </w:pPr>
            <w:r>
              <w:t xml:space="preserve">Total Material Weight</w:t>
            </w:r>
          </w:p>
        </w:tc>
        <w:tc>
          <w:tcPr/>
          <w:p>
            <w:pPr>
              <w:pStyle w:val="Compact"/>
            </w:pPr>
          </w:p>
        </w:tc>
        <w:tc>
          <w:tcPr/>
          <w:p>
            <w:pPr>
              <w:pStyle w:val="Compact"/>
            </w:pPr>
          </w:p>
        </w:tc>
        <w:tc>
          <w:tcPr/>
          <w:p>
            <w:pPr>
              <w:pStyle w:val="Compact"/>
            </w:pPr>
          </w:p>
        </w:tc>
      </w:tr>
    </w:tbl>
    <w:bookmarkEnd w:id="26"/>
    <w:bookmarkStart w:id="27" w:name="production-energy-data"/>
    <w:p>
      <w:pPr>
        <w:pStyle w:val="Heading3"/>
      </w:pPr>
      <w:r>
        <w:t xml:space="preserve">Production Energy Data</w:t>
      </w:r>
    </w:p>
    <w:p>
      <w:pPr>
        <w:numPr>
          <w:ilvl w:val="0"/>
          <w:numId w:val="1005"/>
        </w:numPr>
        <w:pStyle w:val="Compact"/>
      </w:pPr>
      <w:r>
        <w:rPr>
          <w:bCs/>
          <w:b/>
        </w:rPr>
        <w:t xml:space="preserve">Renewable Energy Usage:</w:t>
      </w:r>
      <w:r>
        <w:t xml:space="preserve"> </w:t>
      </w:r>
      <w:r>
        <w:t xml:space="preserve">nvtedivnuf (e.g., 60%)</w:t>
      </w:r>
    </w:p>
    <w:p>
      <w:pPr>
        <w:numPr>
          <w:ilvl w:val="0"/>
          <w:numId w:val="1005"/>
        </w:numPr>
        <w:pStyle w:val="Compact"/>
      </w:pPr>
      <w:r>
        <w:rPr>
          <w:bCs/>
          <w:b/>
        </w:rPr>
        <w:t xml:space="preserve">Energy Intensity (kWh/unit):</w:t>
      </w:r>
      <w:r>
        <w:t xml:space="preserve"> </w:t>
      </w:r>
      <w:r>
        <w:t xml:space="preserve">pmxretxorg (e.g., 18 kWh/unit)</w:t>
      </w:r>
    </w:p>
    <w:p>
      <w:pPr>
        <w:numPr>
          <w:ilvl w:val="0"/>
          <w:numId w:val="1005"/>
        </w:numPr>
        <w:pStyle w:val="Compact"/>
      </w:pPr>
      <w:r>
        <w:rPr>
          <w:bCs/>
          <w:b/>
        </w:rPr>
        <w:t xml:space="preserve">China Grid Electricity Emission Factor:</w:t>
      </w:r>
      <w:r>
        <w:t xml:space="preserve"> </w:t>
      </w:r>
      <w:r>
        <w:t xml:space="preserve">0.60 kgCO2e/kWh (representative value based on 2025/2023 data for China)</w:t>
      </w:r>
    </w:p>
    <w:bookmarkEnd w:id="27"/>
    <w:bookmarkStart w:id="28" w:name="logistics-data"/>
    <w:p>
      <w:pPr>
        <w:pStyle w:val="Heading3"/>
      </w:pPr>
      <w:r>
        <w:t xml:space="preserve">Logistics Data</w:t>
      </w:r>
    </w:p>
    <w:p>
      <w:pPr>
        <w:numPr>
          <w:ilvl w:val="0"/>
          <w:numId w:val="1006"/>
        </w:numPr>
        <w:pStyle w:val="Compact"/>
      </w:pPr>
      <w:r>
        <w:rPr>
          <w:bCs/>
          <w:b/>
        </w:rPr>
        <w:t xml:space="preserve">Primary Transport Mode (Upstream &amp; Downstream):</w:t>
      </w:r>
      <w:r>
        <w:t xml:space="preserve"> </w:t>
      </w:r>
      <w:r>
        <w:t xml:space="preserve">Select Mode (assumed Road Freight (HGV))</w:t>
      </w:r>
    </w:p>
    <w:p>
      <w:pPr>
        <w:numPr>
          <w:ilvl w:val="0"/>
          <w:numId w:val="1006"/>
        </w:numPr>
        <w:pStyle w:val="Compact"/>
      </w:pPr>
      <w:r>
        <w:rPr>
          <w:bCs/>
          <w:b/>
        </w:rPr>
        <w:t xml:space="preserve">Primary Transport Distance:</w:t>
      </w:r>
      <w:r>
        <w:t xml:space="preserve"> </w:t>
      </w:r>
      <w:r>
        <w:t xml:space="preserve">wfyslpwsyy (e.g., 1500 km per unit, representative for a significant leg in Europe-China supply chain)</w:t>
      </w:r>
    </w:p>
    <w:p>
      <w:pPr>
        <w:numPr>
          <w:ilvl w:val="0"/>
          <w:numId w:val="1006"/>
        </w:numPr>
        <w:pStyle w:val="Compact"/>
      </w:pPr>
      <w:r>
        <w:rPr>
          <w:bCs/>
          <w:b/>
        </w:rPr>
        <w:t xml:space="preserve">Last-Mile Delivery Channel:</w:t>
      </w:r>
      <w:r>
        <w:t xml:space="preserve"> </w:t>
      </w:r>
      <w:r>
        <w:t xml:space="preserve">Delivery Type (assumed Parcel Carrier (Van))</w:t>
      </w:r>
    </w:p>
    <w:p>
      <w:pPr>
        <w:numPr>
          <w:ilvl w:val="0"/>
          <w:numId w:val="1006"/>
        </w:numPr>
        <w:pStyle w:val="Compact"/>
      </w:pPr>
      <w:r>
        <w:rPr>
          <w:bCs/>
          <w:b/>
        </w:rPr>
        <w:t xml:space="preserve">Last-Mile Delivery Distance:</w:t>
      </w:r>
      <w:r>
        <w:t xml:space="preserve"> </w:t>
      </w:r>
      <w:r>
        <w:t xml:space="preserve">50 km/unit (estimated average)</w:t>
      </w:r>
    </w:p>
    <w:p>
      <w:pPr>
        <w:numPr>
          <w:ilvl w:val="0"/>
          <w:numId w:val="1006"/>
        </w:numPr>
        <w:pStyle w:val="Compact"/>
      </w:pPr>
      <w:r>
        <w:rPr>
          <w:bCs/>
          <w:b/>
        </w:rPr>
        <w:t xml:space="preserve">Road Freight (HGV) Emission Factor:</w:t>
      </w:r>
      <w:r>
        <w:t xml:space="preserve"> </w:t>
      </w:r>
      <w:r>
        <w:t xml:space="preserve">0.10 kgCO2e/tonne-km (Well-to-Wheel, Europe focused)</w:t>
      </w:r>
    </w:p>
    <w:p>
      <w:pPr>
        <w:numPr>
          <w:ilvl w:val="0"/>
          <w:numId w:val="1006"/>
        </w:numPr>
        <w:pStyle w:val="Compact"/>
      </w:pPr>
      <w:r>
        <w:rPr>
          <w:bCs/>
          <w:b/>
        </w:rPr>
        <w:t xml:space="preserve">Sea Freight (Container Ship) Emission Factor:</w:t>
      </w:r>
      <w:r>
        <w:t xml:space="preserve"> </w:t>
      </w:r>
      <w:r>
        <w:t xml:space="preserve">0.01 kgCO2e/tonne-km (estimated for intercontinental shipping)</w:t>
      </w:r>
    </w:p>
    <w:p>
      <w:pPr>
        <w:numPr>
          <w:ilvl w:val="0"/>
          <w:numId w:val="1006"/>
        </w:numPr>
        <w:pStyle w:val="Compact"/>
      </w:pPr>
      <w:r>
        <w:rPr>
          <w:bCs/>
          <w:b/>
        </w:rPr>
        <w:t xml:space="preserve">Parcel Carrier (Van) Emission Factor:</w:t>
      </w:r>
      <w:r>
        <w:t xml:space="preserve"> </w:t>
      </w:r>
      <w:r>
        <w:t xml:space="preserve">0.25 kgCO2e/km (for light commercial vehicles)</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uvhmlxkjlg (e.g., 7 years)</w:t>
      </w:r>
    </w:p>
    <w:p>
      <w:pPr>
        <w:numPr>
          <w:ilvl w:val="0"/>
          <w:numId w:val="1007"/>
        </w:numPr>
        <w:pStyle w:val="Compact"/>
      </w:pPr>
      <w:r>
        <w:rPr>
          <w:bCs/>
          <w:b/>
        </w:rPr>
        <w:t xml:space="preserve">Energy Consumption in Use:</w:t>
      </w:r>
      <w:r>
        <w:t xml:space="preserve"> </w:t>
      </w:r>
      <w:r>
        <w:t xml:space="preserve">pyyfnvhhgd (e.g., 15 kWh/year)</w:t>
      </w:r>
    </w:p>
    <w:p>
      <w:pPr>
        <w:numPr>
          <w:ilvl w:val="0"/>
          <w:numId w:val="1007"/>
        </w:numPr>
        <w:pStyle w:val="Compact"/>
      </w:pPr>
      <w:r>
        <w:rPr>
          <w:bCs/>
          <w:b/>
        </w:rPr>
        <w:t xml:space="preserve">European Electricity Emission Factor (Average):</w:t>
      </w:r>
      <w:r>
        <w:t xml:space="preserve"> </w:t>
      </w:r>
      <w:r>
        <w:t xml:space="preserve">0.30 kgCO2e/kWh (estimated average for user location in Europe)</w:t>
      </w:r>
    </w:p>
    <w:bookmarkEnd w:id="29"/>
    <w:bookmarkStart w:id="30"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dtndhugeeu (e.g., 85%)</w:t>
      </w:r>
    </w:p>
    <w:p>
      <w:pPr>
        <w:numPr>
          <w:ilvl w:val="0"/>
          <w:numId w:val="1008"/>
        </w:numPr>
        <w:pStyle w:val="Compact"/>
      </w:pPr>
      <w:r>
        <w:rPr>
          <w:bCs/>
          <w:b/>
        </w:rPr>
        <w:t xml:space="preserve">Circular/Take-back Programs:</w:t>
      </w:r>
      <w:r>
        <w:t xml:space="preserve"> </w:t>
      </w:r>
      <w:r>
        <w:t xml:space="preserve">pjmjhplptq (e.g., Closed-loop recycling program)</w:t>
      </w:r>
    </w:p>
    <w:p>
      <w:pPr>
        <w:numPr>
          <w:ilvl w:val="0"/>
          <w:numId w:val="1008"/>
        </w:numPr>
        <w:pStyle w:val="Compact"/>
      </w:pPr>
      <w:r>
        <w:rPr>
          <w:bCs/>
          <w:b/>
        </w:rPr>
        <w:t xml:space="preserve">Average Recycling Process Emission Factor:</w:t>
      </w:r>
      <w:r>
        <w:t xml:space="preserve"> </w:t>
      </w:r>
      <w:r>
        <w:t xml:space="preserve">0.1 kgCO2e/kg (blended for metals/plastics processing)</w:t>
      </w:r>
    </w:p>
    <w:p>
      <w:pPr>
        <w:numPr>
          <w:ilvl w:val="0"/>
          <w:numId w:val="1008"/>
        </w:numPr>
        <w:pStyle w:val="Compact"/>
      </w:pPr>
      <w:r>
        <w:rPr>
          <w:bCs/>
          <w:b/>
        </w:rPr>
        <w:t xml:space="preserve">Average Landfill Emission Factor:</w:t>
      </w:r>
      <w:r>
        <w:t xml:space="preserve"> </w:t>
      </w:r>
      <w:r>
        <w:t xml:space="preserve">0.05 kgCO2e/kg (blended for non-recyclable materials)</w:t>
      </w:r>
    </w:p>
    <w:p>
      <w:r>
        <w:pict>
          <v:rect style="width:0;height:1.5pt" o:hralign="center" o:hrstd="t" o:hr="t"/>
        </w:pict>
      </w:r>
    </w:p>
    <w:bookmarkEnd w:id="30"/>
    <w:bookmarkEnd w:id="31"/>
    <w:bookmarkStart w:id="35" w:name="calculate-emissions"/>
    <w:p>
      <w:pPr>
        <w:pStyle w:val="Heading2"/>
      </w:pPr>
      <w:r>
        <w:t xml:space="preserve">4. Calculate Emissions</w:t>
      </w:r>
    </w:p>
    <w:p>
      <w:pPr>
        <w:pStyle w:val="FirstParagraph"/>
      </w:pPr>
      <w:r>
        <w:t xml:space="preserve">Emissions were calculated for each lifecycle stage and categorized into GHG Protocol Scopes. All calculations assume a functional unit of 1.0 unit of hrhdzjjqhy.</w:t>
      </w:r>
    </w:p>
    <w:bookmarkStart w:id="32" w:name="emissions-summary-by-lifecycle-stage"/>
    <w:p>
      <w:pPr>
        <w:pStyle w:val="Heading3"/>
      </w:pPr>
      <w:r>
        <w:t xml:space="preserve">Emissions Summary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Materials Acquisition &amp; Pre-processing</w:t>
            </w:r>
          </w:p>
        </w:tc>
        <w:tc>
          <w:tcPr/>
          <w:p>
            <w:pPr>
              <w:pStyle w:val="Compact"/>
            </w:pP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Manufacturing/Production</w:t>
            </w:r>
          </w:p>
        </w:tc>
        <w:tc>
          <w:tcPr/>
          <w:p>
            <w:pPr>
              <w:pStyle w:val="Compact"/>
            </w:pP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Upstream Transportation &amp; Distribution</w:t>
            </w:r>
          </w:p>
        </w:tc>
        <w:tc>
          <w:tcPr/>
          <w:p>
            <w:pPr>
              <w:pStyle w:val="Compact"/>
            </w:pP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Downstream Primary Transportation &amp; Distribution</w:t>
            </w:r>
          </w:p>
        </w:tc>
        <w:tc>
          <w:tcPr/>
          <w:p>
            <w:pPr>
              <w:pStyle w:val="Compact"/>
            </w:pP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Last-Mile Delivery</w:t>
            </w:r>
          </w:p>
        </w:tc>
        <w:tc>
          <w:tcPr/>
          <w:p>
            <w:pPr>
              <w:pStyle w:val="Compact"/>
            </w:pP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pP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(Net)</w:t>
            </w:r>
          </w:p>
        </w:tc>
        <w:tc>
          <w:tcPr/>
          <w:p>
            <w:pPr>
              <w:pStyle w:val="Compact"/>
            </w:pP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w:t>
            </w:r>
          </w:p>
        </w:tc>
        <w:tc>
          <w:tcPr/>
          <w:p>
            <w:pPr>
              <w:pStyle w:val="Compact"/>
            </w:pPr>
          </w:p>
        </w:tc>
        <w:tc>
          <w:tcPr>
            <w:gridSpan w:val="2"/>
          </w:tcPr>
          <w:p>
            <w:pPr>
              <w:pStyle w:val="Compact"/>
            </w:pPr>
          </w:p>
        </w:tc>
      </w:tr>
    </w:tbl>
    <w:bookmarkEnd w:id="32"/>
    <w:bookmarkStart w:id="33" w:name="emissions-summary-by-ghg-scope"/>
    <w:p>
      <w:pPr>
        <w:pStyle w:val="Heading3"/>
      </w:pPr>
      <w:r>
        <w:t xml:space="preserve">Emissions Summary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Coverage Notes</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Assumed negligible for \'factory_gate\' boundary for product, no direct fuel combustion specified.</w:t>
            </w:r>
          </w:p>
        </w:tc>
      </w:tr>
      <w:tr>
        <w:tc>
          <w:tcPr/>
          <w:p>
            <w:pPr>
              <w:pStyle w:val="Compact"/>
              <w:jc w:val="left"/>
            </w:pPr>
            <w:r>
              <w:t xml:space="preserve">Scope 2 (Purchased Energy)</w:t>
            </w:r>
          </w:p>
        </w:tc>
        <w:tc>
          <w:tcPr/>
          <w:p>
            <w:pPr>
              <w:pStyle w:val="Compact"/>
            </w:pPr>
          </w:p>
        </w:tc>
        <w:tc>
          <w:tcPr/>
          <w:p>
            <w:pPr>
              <w:pStyle w:val="Compact"/>
              <w:jc w:val="left"/>
            </w:pPr>
            <w:r>
              <w:t xml:space="preserve">Electricity for manufacturing in China (adjusted for renewable energy usage).</w:t>
            </w:r>
          </w:p>
        </w:tc>
      </w:tr>
      <w:tr>
        <w:tc>
          <w:tcPr/>
          <w:p>
            <w:pPr>
              <w:pStyle w:val="Compact"/>
              <w:jc w:val="left"/>
            </w:pPr>
            <w:r>
              <w:t xml:space="preserve">Scope 3 (Value Chain Emissions)</w:t>
            </w:r>
          </w:p>
        </w:tc>
        <w:tc>
          <w:tcPr/>
          <w:p>
            <w:pPr>
              <w:pStyle w:val="Compact"/>
            </w:pPr>
          </w:p>
        </w:tc>
        <w:tc>
          <w:tcPr/>
          <w:p>
            <w:pPr>
              <w:pStyle w:val="Compact"/>
              <w:jc w:val="left"/>
            </w:pPr>
            <w:r>
              <w:t xml:space="preserve">Includes Categories 1, 4, 9, 11, 12, achieving &gt;95% coverage.</w:t>
            </w:r>
          </w:p>
        </w:tc>
      </w:tr>
      <w:tr>
        <w:tc>
          <w:tcPr/>
          <w:p>
            <w:pPr>
              <w:pStyle w:val="Compact"/>
              <w:jc w:val="left"/>
            </w:pPr>
            <w:r>
              <w:rPr>
                <w:bCs/>
                <w:b/>
              </w:rPr>
              <w:t xml:space="preserve">Total Product Carbon Footprint</w:t>
            </w:r>
          </w:p>
        </w:tc>
        <w:tc>
          <w:tcPr/>
          <w:p>
            <w:pPr>
              <w:pStyle w:val="Compact"/>
            </w:pPr>
          </w:p>
        </w:tc>
        <w:tc>
          <w:tcPr/>
          <w:p>
            <w:pPr>
              <w:pStyle w:val="Compact"/>
            </w:pPr>
          </w:p>
        </w:tc>
      </w:tr>
    </w:tbl>
    <w:bookmarkEnd w:id="33"/>
    <w:bookmarkStart w:id="34" w:name="application-of-2026-lsr-update"/>
    <w:p>
      <w:pPr>
        <w:pStyle w:val="Heading3"/>
      </w:pPr>
      <w:r>
        <w:t xml:space="preserve">Application of 2026 LSR Update</w:t>
      </w:r>
    </w:p>
    <w:p>
      <w:pPr>
        <w:pStyle w:val="FirstParagraph"/>
      </w:pPr>
      <w:r>
        <w:t xml:space="preserve">The Land Sector and Removals (LSR) Standard, effective January 1, 2027, has been considered in this analysis. While hrhdzjjqhy does not have direct significant land sector activities within its operational boundary, the LSR principles inform the accounting for any land-use change or biogenic carbon impacts implicitly associated with upstream raw material production or any future carbon removal initiatives. The standard aims to provide consistent methods for quantifying and reporting land emissions and CO2 removals, particularly relevant for agricultural products and technological CO2 removals.</w:t>
      </w:r>
    </w:p>
    <w:p>
      <w:r>
        <w:pict>
          <v:rect style="width:0;height:1.5pt" o:hralign="center" o:hrstd="t" o:hr="t"/>
        </w:pict>
      </w:r>
    </w:p>
    <w:bookmarkEnd w:id="34"/>
    <w:bookmarkEnd w:id="35"/>
    <w:bookmarkStart w:id="41" w:name="review-report"/>
    <w:p>
      <w:pPr>
        <w:pStyle w:val="Heading2"/>
      </w:pPr>
      <w:r>
        <w:t xml:space="preserve">5. Review &amp; Report</w:t>
      </w:r>
    </w:p>
    <w:bookmarkStart w:id="36" w:name="hotspot-analysis"/>
    <w:p>
      <w:pPr>
        <w:pStyle w:val="Heading3"/>
      </w:pPr>
      <w:r>
        <w:t xml:space="preserve">Hotspot Analysis</w:t>
      </w:r>
    </w:p>
    <w:p>
      <w:pPr>
        <w:pStyle w:val="FirstParagraph"/>
      </w:pPr>
      <w:r>
        <w:t xml:space="preserve">Based on the calculations, the primary emission hotspots for hrhdzjjqhy are:</w:t>
      </w:r>
    </w:p>
    <w:p>
      <w:pPr>
        <w:numPr>
          <w:ilvl w:val="0"/>
          <w:numId w:val="1009"/>
        </w:numPr>
        <w:pStyle w:val="Compact"/>
      </w:pPr>
      <w:r>
        <w:rPr>
          <w:bCs/>
          <w:b/>
        </w:rPr>
        <w:t xml:space="preserve">Materials Acquisition &amp; Pre-processing:</w:t>
      </w:r>
      <w:r>
        <w:t xml:space="preserve"> </w:t>
      </w:r>
      <w:r>
        <w:t xml:space="preserve">Accounting for a significant portion due to the embodied emissions in components like circuit boards and steel.</w:t>
      </w:r>
    </w:p>
    <w:p>
      <w:pPr>
        <w:numPr>
          <w:ilvl w:val="0"/>
          <w:numId w:val="1009"/>
        </w:numPr>
        <w:pStyle w:val="Compact"/>
      </w:pPr>
      <w:r>
        <w:rPr>
          <w:bCs/>
          <w:b/>
        </w:rPr>
        <w:t xml:space="preserve">Use Phase:</w:t>
      </w:r>
      <w:r>
        <w:t xml:space="preserve"> </w:t>
      </w:r>
      <w:r>
        <w:t xml:space="preserve">The energy consumption over the product\'s lifespan contributes substantially, highlighting the importance of energy efficiency.</w:t>
      </w:r>
    </w:p>
    <w:p>
      <w:pPr>
        <w:numPr>
          <w:ilvl w:val="0"/>
          <w:numId w:val="1009"/>
        </w:numPr>
        <w:pStyle w:val="Compact"/>
      </w:pPr>
      <w:r>
        <w:rPr>
          <w:bCs/>
          <w:b/>
        </w:rPr>
        <w:t xml:space="preserve">Downstream Transportation &amp; Distribution:</w:t>
      </w:r>
      <w:r>
        <w:t xml:space="preserve"> </w:t>
      </w:r>
      <w:r>
        <w:t xml:space="preserve">The long distances involved in transporting the finished product from China to the European market, combined with last-mile delivery, are notable contributors.</w:t>
      </w:r>
    </w:p>
    <w:bookmarkEnd w:id="36"/>
    <w:bookmarkStart w:id="37" w:name="reliability-assessment"/>
    <w:p>
      <w:pPr>
        <w:pStyle w:val="Heading3"/>
      </w:pPr>
      <w:r>
        <w:t xml:space="preserve">Reliability Assessment</w:t>
      </w:r>
    </w:p>
    <w:p>
      <w:pPr>
        <w:pStyle w:val="FirstParagraph"/>
      </w:pPr>
      <w:r>
        <w:t xml:space="preserve">The reliability of this PCF analysis is considered moderate to high, given the use of provided primary data for the Bill of Materials and customized energy parameters. Secondary industry-standard emission factors from reputable sources (e.g., GLEC, BEIS/Defra, IEA) were used for transport, electricity, and EoL processes where specific data was unavailable. The accuracy could be further enhanced with more granular primary data for all supply chain activities (e.g., specific supplier emission factors for materials, actual transport routes and modes, and precise EoL processing data).</w:t>
      </w:r>
    </w:p>
    <w:bookmarkEnd w:id="37"/>
    <w:bookmarkStart w:id="40" w:name="X9c2fa655fd5ff5eb563b99cfb7ef5020b05c161"/>
    <w:p>
      <w:pPr>
        <w:pStyle w:val="Heading3"/>
      </w:pPr>
      <w:r>
        <w:t xml:space="preserve">Key Insights &amp; Recommendations for xwhgsyptjw</w:t>
      </w:r>
    </w:p>
    <w:p>
      <w:pPr>
        <w:numPr>
          <w:ilvl w:val="0"/>
          <w:numId w:val="1010"/>
        </w:numPr>
        <w:pStyle w:val="Compact"/>
      </w:pPr>
      <w:r>
        <w:rPr>
          <w:bCs/>
          <w:b/>
        </w:rPr>
        <w:t xml:space="preserve">Optimize Material Sourcing:</w:t>
      </w:r>
      <w:r>
        <w:t xml:space="preserve"> </w:t>
      </w:r>
      <w:r>
        <w:t xml:space="preserve">Investigate opportunities to source lower-carbon materials or components with certified lower embodied emissions. Explore the potential for higher recycled content in components.</w:t>
      </w:r>
    </w:p>
    <w:p>
      <w:pPr>
        <w:numPr>
          <w:ilvl w:val="0"/>
          <w:numId w:val="1010"/>
        </w:numPr>
        <w:pStyle w:val="Compact"/>
      </w:pPr>
      <w:r>
        <w:rPr>
          <w:bCs/>
          <w:b/>
        </w:rPr>
        <w:t xml:space="preserve">Enhance Product Energy Efficiency:</w:t>
      </w:r>
      <w:r>
        <w:t xml:space="preserve"> </w:t>
      </w:r>
      <w:r>
        <w:t xml:space="preserve">Focus R&amp;D on reducing energy consumption during the product\'s use phase, as this is a significant hotspot over its 7-year lifespan.</w:t>
      </w:r>
    </w:p>
    <w:p>
      <w:pPr>
        <w:numPr>
          <w:ilvl w:val="0"/>
          <w:numId w:val="1010"/>
        </w:numPr>
        <w:pStyle w:val="Compact"/>
      </w:pPr>
      <w:r>
        <w:rPr>
          <w:bCs/>
          <w:b/>
        </w:rPr>
        <w:t xml:space="preserve">Streamline Logistics:</w:t>
      </w:r>
      <w:r>
        <w:t xml:space="preserve"> </w:t>
      </w:r>
      <w:r>
        <w:t xml:space="preserve">Evaluate opportunities for optimizing transport routes, consolidating shipments, or shifting to lower-emission transport modes (e.g., rail or sea where feasible) for primary distribution to Europe.</w:t>
      </w:r>
    </w:p>
    <w:p>
      <w:pPr>
        <w:numPr>
          <w:ilvl w:val="0"/>
          <w:numId w:val="1010"/>
        </w:numPr>
        <w:pStyle w:val="Compact"/>
      </w:pPr>
      <w:r>
        <w:rPr>
          <w:bCs/>
          <w:b/>
        </w:rPr>
        <w:t xml:space="preserve">Maximize Circularity:</w:t>
      </w:r>
      <w:r>
        <w:t xml:space="preserve"> </w:t>
      </w:r>
      <w:r>
        <w:t xml:space="preserve">Leverage the "Closed-loop recycling program" (pjmjhplptq) and the high recyclability percentage (dtndhugeeu) to ensure effective material recovery and maximize avoided emissions. Consider design for disassembly and repairability to extend product lifespan and enhance material循环.</w:t>
      </w:r>
    </w:p>
    <w:p>
      <w:pPr>
        <w:numPr>
          <w:ilvl w:val="0"/>
          <w:numId w:val="1010"/>
        </w:numPr>
        <w:pStyle w:val="Compact"/>
      </w:pPr>
      <w:r>
        <w:rPr>
          <w:bCs/>
          <w:b/>
        </w:rPr>
        <w:t xml:space="preserve">Increase Renewable Energy Adoption:</w:t>
      </w:r>
      <w:r>
        <w:t xml:space="preserve"> </w:t>
      </w:r>
      <w:r>
        <w:t xml:space="preserve">Continue to increase the share of renewable energy in manufacturing operations and encourage suppliers to do the same to further reduce Scope 2 and upstream Scope 3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8" w:name="page-num"/>
      <w:bookmarkEnd w:id="38"/>
      <w:r>
        <w:t xml:space="preserve"> </w:t>
      </w:r>
      <w:r>
        <w:t xml:space="preserve">of</w:t>
      </w:r>
      <w:r>
        <w:t xml:space="preserve"> </w:t>
      </w:r>
      <w:bookmarkStart w:id="39" w:name="total-pages"/>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hrhdzjjqhy</dc:title>
  <dc:creator/>
  <dc:description>Detailed Product Carbon Footprint (PCF) analysis for hrhdzjjqhy by xwhgsyptjw, adhering to GHG Protocol and 2026 LSR Update.</dc:description>
  <dc:language>en</dc:language>
  <cp:keywords/>
  <dcterms:created xsi:type="dcterms:W3CDTF">2026-07-15T12:50:29Z</dcterms:created>
  <dcterms:modified xsi:type="dcterms:W3CDTF">2026-07-15T12:50:29Z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