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hqwdhlpdlj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hqwdhlpdlj</w:t>
      </w:r>
    </w:p>
    <w:p>
      <w:pPr>
        <w:pStyle w:val="BodyText"/>
      </w:pPr>
      <w:r>
        <w:rPr>
          <w:bCs/>
          <w:b/>
        </w:rPr>
        <w:t xml:space="preserve">Company Name:</w:t>
      </w:r>
      <w:r>
        <w:t xml:space="preserve"> </w:t>
      </w:r>
      <w:r>
        <w:t xml:space="preserve">nszrqvfgdm</w:t>
      </w:r>
    </w:p>
    <w:p>
      <w:pPr>
        <w:pStyle w:val="BodyText"/>
      </w:pPr>
      <w:r>
        <w:rPr>
          <w:bCs/>
          <w:b/>
        </w:rPr>
        <w:t xml:space="preserve">Senior Sustainability Consultant:</w:t>
      </w:r>
      <w:r>
        <w:t xml:space="preserve"> </w:t>
      </w:r>
      <w:r>
        <w:t xml:space="preserve">tlmmhwrunv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depending on real-world conditions, data precision, and evolving methodologies.</w:t>
      </w:r>
    </w:p>
    <w:bookmarkEnd w:id="20"/>
    <w:bookmarkStart w:id="21" w:name="Xf9d371dea92c4bb9a0cd6bbd58cde1eb048b8b1"/>
    <w:p>
      <w:pPr>
        <w:pStyle w:val="Heading1"/>
      </w:pPr>
      <w:r>
        <w:t xml:space="preserve">Product Carbon Footprint (PCF) Analysis Report for hqwdhlpdlj</w:t>
      </w:r>
    </w:p>
    <w:p>
      <w:pPr>
        <w:pStyle w:val="FirstParagraph"/>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assesses the greenhouse gas (GHG) emissions associated with the lifecycle of product</w:t>
      </w:r>
      <w:r>
        <w:t xml:space="preserve"> </w:t>
      </w:r>
      <w:r>
        <w:t xml:space="preserve">hqwdhlpdlj</w:t>
      </w:r>
      <w:r>
        <w:t xml:space="preserve">, manufactured by</w:t>
      </w:r>
      <w:r>
        <w:t xml:space="preserve"> </w:t>
      </w:r>
      <w:r>
        <w:t xml:space="preserve">nszrqvfgdm</w:t>
      </w:r>
      <w:r>
        <w:t xml:space="preserve">. Conducted by Senior Sustainability Consultant</w:t>
      </w:r>
      <w:r>
        <w:t xml:space="preserve"> </w:t>
      </w:r>
      <w:r>
        <w:t xml:space="preserve">tlmmhwrunv</w:t>
      </w:r>
      <w:r>
        <w:t xml:space="preserve">, this report adheres strictly to the GHG Protocol, including considerations for the 2026 Land Sector and Removals (LSR) Standard update and aims for at least 95% coverage for Scope 3 emissions. The analysis follows a cradle-to-gate system boundary with a downstream focus on use and end-of-life, quantifying emissions across material acquisition, manufacturing, transportation, use phase, and end-of-life stages. The total calculated Product Carbon Footprint for one functional unit of hqwdhlpdlj is</w:t>
      </w:r>
      <w:r>
        <w:t xml:space="preserve"> </w:t>
      </w:r>
      <w:r>
        <w:rPr>
          <w:bCs/>
          <w:b/>
        </w:rPr>
        <w:t xml:space="preserve">31.748 kg CO2e</w:t>
      </w:r>
      <w:r>
        <w:t xml:space="preserve">.</w:t>
      </w:r>
    </w:p>
    <w:bookmarkEnd w:id="22"/>
    <w:p>
      <w:r>
        <w:pict>
          <v:rect style="width:0;height:1.5pt" o:hralign="center" o:hrstd="t" o:hr="t"/>
        </w:pict>
      </w:r>
    </w:p>
    <w:bookmarkStart w:id="28"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hqwdhlpdlj</w:t>
      </w:r>
    </w:p>
    <w:bookmarkEnd w:id="23"/>
    <w:bookmarkStart w:id="24"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factory_gate</w:t>
      </w:r>
      <w:r>
        <w:t xml:space="preserve">, encompassing all upstream processes from raw material extraction to the point where the finished product leaves the manufacturing facility. Additionally, the analysis extends to include key downstream stages: transport to the customer, the product\'s use phase, and its end-of-life treatment, to provide a comprehensive view of the product\'s value chain impact.</w:t>
      </w:r>
    </w:p>
    <w:bookmarkEnd w:id="24"/>
    <w:bookmarkStart w:id="25"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downstream elements like product use)</w:t>
      </w:r>
    </w:p>
    <w:bookmarkEnd w:id="25"/>
    <w:bookmarkStart w:id="26" w:name="accounting-standard"/>
    <w:p>
      <w:pPr>
        <w:pStyle w:val="Heading3"/>
      </w:pPr>
      <w:r>
        <w:t xml:space="preserve">Accounting Standard</w:t>
      </w:r>
    </w:p>
    <w:p>
      <w:pPr>
        <w:pStyle w:val="FirstParagraph"/>
      </w:pPr>
      <w:r>
        <w:t xml:space="preserve">This report strictly adheres to the</w:t>
      </w:r>
      <w:r>
        <w:t xml:space="preserve"> </w:t>
      </w:r>
      <w:r>
        <w:rPr>
          <w:bCs/>
          <w:b/>
        </w:rPr>
        <w:t xml:space="preserve">GHG Protocol</w:t>
      </w:r>
      <w:r>
        <w:t xml:space="preserve">, the world\'s most widely used greenhouse gas accounting standard. Emissions are categorized into Scope 1 (direct emissions), Scope 2 (indirect emissions from purchased energy), and Scope 3 (all other indirect emissions across the value chain).</w:t>
      </w:r>
    </w:p>
    <w:p>
      <w:pPr>
        <w:pStyle w:val="BodyText"/>
      </w:pPr>
      <w:r>
        <w:t xml:space="preserve">The analysis also incorporates the principles of the</w:t>
      </w:r>
      <w:r>
        <w:t xml:space="preserve"> </w:t>
      </w:r>
      <w:r>
        <w:rPr>
          <w:bCs/>
          <w:b/>
        </w:rPr>
        <w:t xml:space="preserve">2026 Land Sector and Removals (LSR) Standard Update</w:t>
      </w:r>
      <w:r>
        <w:t xml:space="preserve">. The LSR Standard, effective January 1, 2027, provides guidance for quantifying, reporting, and tracking land emissions and CO2 removals, including technological removals. While no specific land use data for raw material sourcing was provided for this product, its principles are acknowledged for future detailed applications involving land-intensive activities.</w:t>
      </w:r>
    </w:p>
    <w:p>
      <w:pPr>
        <w:pStyle w:val="BodyText"/>
      </w:pPr>
      <w:r>
        <w:t xml:space="preserve">A particular emphasis has been placed on achieving at least</w:t>
      </w:r>
      <w:r>
        <w:t xml:space="preserve"> </w:t>
      </w:r>
      <w:r>
        <w:rPr>
          <w:bCs/>
          <w:b/>
        </w:rPr>
        <w:t xml:space="preserve">95% coverage for Scope 3 reporting</w:t>
      </w:r>
      <w:r>
        <w:t xml:space="preserve">, aligning with 2026 requirements for comprehensive value chain emission accounting.</w:t>
      </w:r>
    </w:p>
    <w:bookmarkEnd w:id="26"/>
    <w:bookmarkStart w:id="27" w:name="allocation"/>
    <w:p>
      <w:pPr>
        <w:pStyle w:val="Heading3"/>
      </w:pPr>
      <w:r>
        <w:t xml:space="preserve">Allocation</w:t>
      </w:r>
    </w:p>
    <w:p>
      <w:pPr>
        <w:pStyle w:val="FirstParagraph"/>
      </w:pPr>
      <w:r>
        <w:t xml:space="preserve">Emissions from co-products or shared processes are allocated based on mass where appropriate. For end-of-life scenarios, a recyclability percentage is used to allocate emissions/credits for recycled versus disposed materials.</w:t>
      </w:r>
    </w:p>
    <w:bookmarkEnd w:id="27"/>
    <w:bookmarkEnd w:id="28"/>
    <w:p>
      <w:r>
        <w:pict>
          <v:rect style="width:0;height:1.5pt" o:hralign="center" o:hrstd="t" o:hr="t"/>
        </w:pict>
      </w:r>
    </w:p>
    <w:bookmarkStart w:id="34" w:name="X668a29dea6996859d52024a913312988ccfa3c9"/>
    <w:p>
      <w:pPr>
        <w:pStyle w:val="Heading2"/>
      </w:pPr>
      <w:r>
        <w:t xml:space="preserve">2. Map Lifecycle (LCI Inventory Stages) &amp; 3. Collect Data</w:t>
      </w:r>
    </w:p>
    <w:p>
      <w:pPr>
        <w:pStyle w:val="FirstParagraph"/>
      </w:pPr>
      <w:r>
        <w:t xml:space="preserve">The lifecycle of hqwdhlpdlj is mapped across five key stages: Materials, Manufacturing, Transportation, Use Phase, and End-of-Life. Data collection involved utilizing the provided primary data (Bill of Materials, energy usage, transport specifics, lifespan, recyclability) and secondary data (industry-standard emission factors where primary data was absent).</w:t>
      </w:r>
    </w:p>
    <w:bookmarkStart w:id="29" w:name="X01f4a4eda61a0c087dedee9f292d8e111acc07a"/>
    <w:p>
      <w:pPr>
        <w:pStyle w:val="Heading3"/>
      </w:pPr>
      <w:r>
        <w:t xml:space="preserve">Detailed Bill of Materials (BOM) &amp; Material Inputs (Scope 3 - Category 1)</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Weight:</w:t>
      </w:r>
      <w:r>
        <w:t xml:space="preserve"> </w:t>
      </w:r>
      <w:r>
        <w:t xml:space="preserve">1.1 kg</w:t>
      </w:r>
    </w:p>
    <w:bookmarkEnd w:id="29"/>
    <w:bookmarkStart w:id="30" w:name="energy-inputs-for-production-scope-2"/>
    <w:p>
      <w:pPr>
        <w:pStyle w:val="Heading3"/>
      </w:pPr>
      <w:r>
        <w:t xml:space="preserve">Energy Inputs for Production (Scope 2)</w:t>
      </w:r>
    </w:p>
    <w:p>
      <w:pPr>
        <w:numPr>
          <w:ilvl w:val="0"/>
          <w:numId w:val="1003"/>
        </w:numPr>
        <w:pStyle w:val="Compact"/>
      </w:pPr>
      <w:r>
        <w:rPr>
          <w:bCs/>
          <w:b/>
        </w:rPr>
        <w:t xml:space="preserve">Renewable Energy Usage:</w:t>
      </w:r>
      <w:r>
        <w:t xml:space="preserve"> </w:t>
      </w:r>
      <w:r>
        <w:t xml:space="preserve">nlyhjhktgx (50%)</w:t>
      </w:r>
    </w:p>
    <w:p>
      <w:pPr>
        <w:numPr>
          <w:ilvl w:val="0"/>
          <w:numId w:val="1003"/>
        </w:numPr>
        <w:pStyle w:val="Compact"/>
      </w:pPr>
      <w:r>
        <w:rPr>
          <w:bCs/>
          <w:b/>
        </w:rPr>
        <w:t xml:space="preserve">Energy Intensity (kWh/unit):</w:t>
      </w:r>
      <w:r>
        <w:t xml:space="preserve"> </w:t>
      </w:r>
      <w:r>
        <w:t xml:space="preserve">rmktdpldoi (10 kWh/unit)</w:t>
      </w:r>
    </w:p>
    <w:bookmarkEnd w:id="30"/>
    <w:bookmarkStart w:id="31" w:name="logistics-data-scope-3---category-4-9"/>
    <w:p>
      <w:pPr>
        <w:pStyle w:val="Heading3"/>
      </w:pPr>
      <w:r>
        <w:t xml:space="preserve">Logistics Data (Scope 3 - Category 4 &amp; 9)</w:t>
      </w:r>
    </w:p>
    <w:p>
      <w:pPr>
        <w:numPr>
          <w:ilvl w:val="0"/>
          <w:numId w:val="1004"/>
        </w:numPr>
        <w:pStyle w:val="Compact"/>
      </w:pPr>
      <w:r>
        <w:rPr>
          <w:bCs/>
          <w:b/>
        </w:rPr>
        <w:t xml:space="preserve">Primary Transport Mode (Factory to Distribution Hub):</w:t>
      </w:r>
      <w:r>
        <w:t xml:space="preserve"> </w:t>
      </w:r>
      <w:r>
        <w:t xml:space="preserve">Select Mode (Road Freight (HGV 32-40t))</w:t>
      </w:r>
    </w:p>
    <w:p>
      <w:pPr>
        <w:numPr>
          <w:ilvl w:val="0"/>
          <w:numId w:val="1004"/>
        </w:numPr>
        <w:pStyle w:val="Compact"/>
      </w:pPr>
      <w:r>
        <w:rPr>
          <w:bCs/>
          <w:b/>
        </w:rPr>
        <w:t xml:space="preserve">Primary Transport Distance (Factory to Distribution Hub):</w:t>
      </w:r>
      <w:r>
        <w:t xml:space="preserve"> </w:t>
      </w:r>
      <w:r>
        <w:t xml:space="preserve">kmytmrnlsr (5000 km)</w:t>
      </w:r>
    </w:p>
    <w:p>
      <w:pPr>
        <w:numPr>
          <w:ilvl w:val="0"/>
          <w:numId w:val="1004"/>
        </w:numPr>
        <w:pStyle w:val="Compact"/>
      </w:pPr>
      <w:r>
        <w:rPr>
          <w:bCs/>
          <w:b/>
        </w:rPr>
        <w:t xml:space="preserve">Last-Mile Delivery Channel:</w:t>
      </w:r>
      <w:r>
        <w:t xml:space="preserve"> </w:t>
      </w:r>
      <w:r>
        <w:t xml:space="preserve">Delivery Type (Light Commercial Vehicle (Diesel))</w:t>
      </w:r>
    </w:p>
    <w:p>
      <w:pPr>
        <w:numPr>
          <w:ilvl w:val="0"/>
          <w:numId w:val="1004"/>
        </w:numPr>
        <w:pStyle w:val="Compact"/>
      </w:pPr>
      <w:r>
        <w:rPr>
          <w:bCs/>
          <w:b/>
        </w:rPr>
        <w:t xml:space="preserve">Assumed Last-Mile Delivery Distance:</w:t>
      </w:r>
      <w:r>
        <w:t xml:space="preserve"> </w:t>
      </w:r>
      <w:r>
        <w:t xml:space="preserve">50 km (illustrative)</w:t>
      </w:r>
    </w:p>
    <w:bookmarkEnd w:id="31"/>
    <w:bookmarkStart w:id="32" w:name="use-phase-data-scope-3---category-11"/>
    <w:p>
      <w:pPr>
        <w:pStyle w:val="Heading3"/>
      </w:pPr>
      <w:r>
        <w:t xml:space="preserve">Use Phase Data (Scope 3 - Category 11)</w:t>
      </w:r>
    </w:p>
    <w:p>
      <w:pPr>
        <w:numPr>
          <w:ilvl w:val="0"/>
          <w:numId w:val="1005"/>
        </w:numPr>
        <w:pStyle w:val="Compact"/>
      </w:pPr>
      <w:r>
        <w:rPr>
          <w:bCs/>
          <w:b/>
        </w:rPr>
        <w:t xml:space="preserve">Product Lifespan:</w:t>
      </w:r>
      <w:r>
        <w:t xml:space="preserve"> </w:t>
      </w:r>
      <w:r>
        <w:t xml:space="preserve">ltkofgskmi (5 years)</w:t>
      </w:r>
    </w:p>
    <w:p>
      <w:pPr>
        <w:numPr>
          <w:ilvl w:val="0"/>
          <w:numId w:val="1005"/>
        </w:numPr>
        <w:pStyle w:val="Compact"/>
      </w:pPr>
      <w:r>
        <w:rPr>
          <w:bCs/>
          <w:b/>
        </w:rPr>
        <w:t xml:space="preserve">Energy Consumption in Use:</w:t>
      </w:r>
      <w:r>
        <w:t xml:space="preserve"> </w:t>
      </w:r>
      <w:r>
        <w:t xml:space="preserve">kgfonjhzlx (20 kWh/year)</w:t>
      </w:r>
    </w:p>
    <w:bookmarkEnd w:id="32"/>
    <w:bookmarkStart w:id="33" w:name="X3a665f80ed39d0ecd28f8d1a57827ce097b2377"/>
    <w:p>
      <w:pPr>
        <w:pStyle w:val="Heading3"/>
      </w:pPr>
      <w:r>
        <w:t xml:space="preserve">End-of-Life (EoL) Scenarios (Scope 3 - Category 12)</w:t>
      </w:r>
    </w:p>
    <w:p>
      <w:pPr>
        <w:numPr>
          <w:ilvl w:val="0"/>
          <w:numId w:val="1006"/>
        </w:numPr>
        <w:pStyle w:val="Compact"/>
      </w:pPr>
      <w:r>
        <w:rPr>
          <w:bCs/>
          <w:b/>
        </w:rPr>
        <w:t xml:space="preserve">Recyclability Percentage:</w:t>
      </w:r>
      <w:r>
        <w:t xml:space="preserve"> </w:t>
      </w:r>
      <w:r>
        <w:t xml:space="preserve">nrwdqhtyml (70%)</w:t>
      </w:r>
    </w:p>
    <w:p>
      <w:pPr>
        <w:numPr>
          <w:ilvl w:val="0"/>
          <w:numId w:val="1006"/>
        </w:numPr>
        <w:pStyle w:val="Compact"/>
      </w:pPr>
      <w:r>
        <w:rPr>
          <w:bCs/>
          <w:b/>
        </w:rPr>
        <w:t xml:space="preserve">Circular/Take-back Programs:</w:t>
      </w:r>
      <w:r>
        <w:t xml:space="preserve"> </w:t>
      </w:r>
      <w:r>
        <w:t xml:space="preserve">mmgudhrudf (Yes, Product take-back program active in EU)</w:t>
      </w:r>
    </w:p>
    <w:bookmarkEnd w:id="33"/>
    <w:bookmarkEnd w:id="34"/>
    <w:p>
      <w:r>
        <w:pict>
          <v:rect style="width:0;height:1.5pt" o:hralign="center" o:hrstd="t" o:hr="t"/>
        </w:pict>
      </w:r>
    </w:p>
    <w:bookmarkStart w:id="43"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were selected from publicly available databases (e.g., adapted from DEFRA, Ecoinvent, Climatiq, EPA) for consistency and broad applicability. All emission results are presented in kilograms of Carbon Dioxide equivalent (kg CO2e).</w:t>
      </w:r>
    </w:p>
    <w:bookmarkStart w:id="35" w:name="lifecycle-stage-emissions-breakdown"/>
    <w:p>
      <w:pPr>
        <w:pStyle w:val="Heading3"/>
      </w:pPr>
      <w:r>
        <w:t xml:space="preserve">Lifecycle Stage Emissions Breakdown</w:t>
      </w:r>
    </w:p>
    <w:bookmarkEnd w:id="35"/>
    <w:bookmarkStart w:id="36" w:name="Xf25f82d5d817c2e126a79fc7ac95c835a1ef5be"/>
    <w:p>
      <w:pPr>
        <w:pStyle w:val="Heading3"/>
      </w:pPr>
      <w:r>
        <w:t xml:space="preserve">Materials Acquisition &amp; Production (Scope 3 - Category 1: Purchased Goods &amp; Services)</w:t>
      </w:r>
    </w:p>
    <w:p>
      <w:pPr>
        <w:pStyle w:val="FirstParagraph"/>
      </w:pPr>
      <w:r>
        <w:t xml:space="preserve">The emissions from the extraction, processing, and production of raw materials and components are directly derived from the provided BOM. These are classified as upstream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3.75</w:t>
            </w:r>
          </w:p>
        </w:tc>
      </w:tr>
      <w:tr>
        <w:tc>
          <w:tcPr/>
          <w:p>
            <w:pPr>
              <w:pStyle w:val="Compact"/>
              <w:jc w:val="left"/>
            </w:pPr>
            <w:r>
              <w:t xml:space="preserve">Plastic Enclosure</w:t>
            </w:r>
          </w:p>
        </w:tc>
        <w:tc>
          <w:tcPr/>
          <w:p>
            <w:pPr>
              <w:pStyle w:val="Compact"/>
              <w:jc w:val="left"/>
            </w:pPr>
            <w:r>
              <w:t xml:space="preserve">0.63</w:t>
            </w:r>
          </w:p>
        </w:tc>
      </w:tr>
      <w:tr>
        <w:tc>
          <w:tcPr/>
          <w:p>
            <w:pPr>
              <w:pStyle w:val="Compact"/>
              <w:jc w:val="left"/>
            </w:pPr>
            <w:r>
              <w:t xml:space="preserve">Electronic Components</w:t>
            </w:r>
          </w:p>
        </w:tc>
        <w:tc>
          <w:tcPr/>
          <w:p>
            <w:pPr>
              <w:pStyle w:val="Compact"/>
              <w:jc w:val="left"/>
            </w:pPr>
            <w:r>
              <w:t xml:space="preserve">1.50</w:t>
            </w:r>
          </w:p>
        </w:tc>
      </w:tr>
      <w:tr>
        <w:tc>
          <w:tcPr/>
          <w:p>
            <w:pPr>
              <w:pStyle w:val="Compact"/>
              <w:jc w:val="left"/>
            </w:pPr>
            <w:r>
              <w:t xml:space="preserve">Packaging</w:t>
            </w:r>
          </w:p>
        </w:tc>
        <w:tc>
          <w:tcPr/>
          <w:p>
            <w:pPr>
              <w:pStyle w:val="Compact"/>
              <w:jc w:val="left"/>
            </w:pPr>
            <w:r>
              <w:t xml:space="preserve">0.20</w:t>
            </w:r>
          </w:p>
        </w:tc>
      </w:tr>
      <w:tr>
        <w:tc>
          <w:tcPr/>
          <w:p>
            <w:pPr>
              <w:pStyle w:val="Compact"/>
              <w:jc w:val="left"/>
            </w:pPr>
            <w:r>
              <w:rPr>
                <w:bCs/>
                <w:b/>
              </w:rPr>
              <w:t xml:space="preserve">Total Materials Emissions</w:t>
            </w:r>
          </w:p>
        </w:tc>
        <w:tc>
          <w:tcPr/>
          <w:p>
            <w:pPr>
              <w:pStyle w:val="Compact"/>
              <w:jc w:val="left"/>
            </w:pPr>
            <w:r>
              <w:rPr>
                <w:bCs/>
                <w:b/>
              </w:rPr>
              <w:t xml:space="preserve">6.08</w:t>
            </w:r>
          </w:p>
        </w:tc>
      </w:tr>
    </w:tbl>
    <w:bookmarkEnd w:id="36"/>
    <w:bookmarkStart w:id="37" w:name="manufacturing-scope-1-scope-2"/>
    <w:p>
      <w:pPr>
        <w:pStyle w:val="Heading3"/>
      </w:pPr>
      <w:r>
        <w:t xml:space="preserve">Manufacturing (Scope 1 &amp; Scope 2)</w:t>
      </w:r>
    </w:p>
    <w:p>
      <w:pPr>
        <w:numPr>
          <w:ilvl w:val="0"/>
          <w:numId w:val="1007"/>
        </w:numPr>
        <w:pStyle w:val="Compact"/>
      </w:pPr>
      <w:r>
        <w:rPr>
          <w:bCs/>
          <w:b/>
        </w:rPr>
        <w:t xml:space="preserve">Scope 1 (Direct Emissions):</w:t>
      </w:r>
      <w:r>
        <w:t xml:space="preserve"> </w:t>
      </w:r>
      <w:r>
        <w:t xml:space="preserve">No direct fuel combustion data was provided for on-site manufacturing. Therefore, Scope 1 emissions for the manufacturing process are considered negligible or not applicable within this "factory_gate" boundary for this PCF.</w:t>
      </w:r>
    </w:p>
    <w:p>
      <w:pPr>
        <w:numPr>
          <w:ilvl w:val="0"/>
          <w:numId w:val="1007"/>
        </w:numPr>
        <w:pStyle w:val="Compact"/>
      </w:pPr>
      <w:r>
        <w:rPr>
          <w:bCs/>
          <w:b/>
        </w:rPr>
        <w:t xml:space="preserve">Scope 2 (Purchased Electricity):</w:t>
      </w:r>
      <w:r>
        <w:t xml:space="preserve"> </w:t>
      </w:r>
      <w:r>
        <w:t xml:space="preserve">Emissions from purchased electricity for the manufacturing process are calculated based on the energy intensity, renewable energy usage, and the average grid emission factor for China.</w:t>
      </w:r>
    </w:p>
    <w:p>
      <w:pPr>
        <w:numPr>
          <w:ilvl w:val="1"/>
          <w:numId w:val="1008"/>
        </w:numPr>
        <w:pStyle w:val="Compact"/>
      </w:pPr>
      <w:r>
        <w:t xml:space="preserve">Energy Intensity: 10 kWh/unit</w:t>
      </w:r>
    </w:p>
    <w:p>
      <w:pPr>
        <w:numPr>
          <w:ilvl w:val="1"/>
          <w:numId w:val="1008"/>
        </w:numPr>
        <w:pStyle w:val="Compact"/>
      </w:pPr>
      <w:r>
        <w:t xml:space="preserve">Renewable Energy Usage: 50%</w:t>
      </w:r>
    </w:p>
    <w:p>
      <w:pPr>
        <w:numPr>
          <w:ilvl w:val="1"/>
          <w:numId w:val="1008"/>
        </w:numPr>
        <w:pStyle w:val="Compact"/>
      </w:pPr>
      <w:r>
        <w:t xml:space="preserve">Non-renewable Electricity Consumption: 10 kWh * (1 - 0.50) = 5 kWh</w:t>
      </w:r>
    </w:p>
    <w:p>
      <w:pPr>
        <w:numPr>
          <w:ilvl w:val="1"/>
          <w:numId w:val="1008"/>
        </w:numPr>
        <w:pStyle w:val="Compact"/>
      </w:pPr>
      <w:r>
        <w:t xml:space="preserve">Emission Factor (China Grid Mix, 2021 average): 0.557 kg CO2e/kWh</w:t>
      </w:r>
    </w:p>
    <w:p>
      <w:pPr>
        <w:numPr>
          <w:ilvl w:val="1"/>
          <w:numId w:val="1008"/>
        </w:numPr>
        <w:pStyle w:val="Compact"/>
      </w:pPr>
      <w:r>
        <w:rPr>
          <w:bCs/>
          <w:b/>
        </w:rPr>
        <w:t xml:space="preserve">Manufacturing Emissions (Scope 2):</w:t>
      </w:r>
      <w:r>
        <w:t xml:space="preserve"> </w:t>
      </w:r>
      <w:r>
        <w:t xml:space="preserve">5 kWh * 0.557 kg CO2e/kWh =</w:t>
      </w:r>
      <w:r>
        <w:t xml:space="preserve"> </w:t>
      </w:r>
      <w:r>
        <w:rPr>
          <w:bCs/>
          <w:b/>
        </w:rPr>
        <w:t xml:space="preserve">2.785 kg CO2e</w:t>
      </w:r>
    </w:p>
    <w:bookmarkEnd w:id="37"/>
    <w:bookmarkStart w:id="38" w:name="X29910a7e6641b3b0b9817fbcfc43dfc19415d69"/>
    <w:p>
      <w:pPr>
        <w:pStyle w:val="Heading3"/>
      </w:pPr>
      <w:r>
        <w:t xml:space="preserve">Transportation (Scope 3 - Category 4: Upstream T&amp;D &amp; Category 9: Downstream T&amp;D)</w:t>
      </w:r>
    </w:p>
    <w:p>
      <w:pPr>
        <w:pStyle w:val="FirstParagraph"/>
      </w:pPr>
      <w:r>
        <w:t xml:space="preserve">Transportation emissions include both the main transport of the finished product from China to the European distribution hub and the last-mile delivery to the customer. The total product weight is 1.1 kg.</w:t>
      </w:r>
    </w:p>
    <w:p>
      <w:pPr>
        <w:numPr>
          <w:ilvl w:val="0"/>
          <w:numId w:val="1009"/>
        </w:numPr>
        <w:pStyle w:val="Compact"/>
      </w:pPr>
      <w:r>
        <w:rPr>
          <w:bCs/>
          <w:b/>
        </w:rPr>
        <w:t xml:space="preserve">Main Transport (China to Europe - Upstream Transportation and Distribution):</w:t>
      </w:r>
    </w:p>
    <w:p>
      <w:pPr>
        <w:numPr>
          <w:ilvl w:val="1"/>
          <w:numId w:val="1010"/>
        </w:numPr>
        <w:pStyle w:val="Compact"/>
      </w:pPr>
      <w:r>
        <w:t xml:space="preserve">Mode: Road Freight (HGV 32-40t)</w:t>
      </w:r>
    </w:p>
    <w:p>
      <w:pPr>
        <w:numPr>
          <w:ilvl w:val="1"/>
          <w:numId w:val="1010"/>
        </w:numPr>
        <w:pStyle w:val="Compact"/>
      </w:pPr>
      <w:r>
        <w:t xml:space="preserve">Distance: 5000 km</w:t>
      </w:r>
    </w:p>
    <w:p>
      <w:pPr>
        <w:numPr>
          <w:ilvl w:val="1"/>
          <w:numId w:val="1010"/>
        </w:numPr>
        <w:pStyle w:val="Compact"/>
      </w:pPr>
      <w:r>
        <w:t xml:space="preserve">Emission Factor (Road Freight HGV, &gt;20t): 0.092 kg CO2e/tonne-km (0.000092 kg CO2e/kg.km)</w:t>
      </w:r>
    </w:p>
    <w:p>
      <w:pPr>
        <w:numPr>
          <w:ilvl w:val="1"/>
          <w:numId w:val="1010"/>
        </w:numPr>
        <w:pStyle w:val="Compact"/>
      </w:pPr>
      <w:r>
        <w:rPr>
          <w:bCs/>
          <w:b/>
        </w:rPr>
        <w:t xml:space="preserve">Emissions:</w:t>
      </w:r>
      <w:r>
        <w:t xml:space="preserve"> </w:t>
      </w:r>
      <w:r>
        <w:t xml:space="preserve">5000 km * 1.1 kg * 0.000092 kg CO2e/kg.km =</w:t>
      </w:r>
      <w:r>
        <w:t xml:space="preserve"> </w:t>
      </w:r>
      <w:r>
        <w:rPr>
          <w:bCs/>
          <w:b/>
        </w:rPr>
        <w:t xml:space="preserve">0.506 kg CO2e</w:t>
      </w:r>
    </w:p>
    <w:p>
      <w:pPr>
        <w:numPr>
          <w:ilvl w:val="0"/>
          <w:numId w:val="1009"/>
        </w:numPr>
        <w:pStyle w:val="Compact"/>
      </w:pPr>
      <w:r>
        <w:rPr>
          <w:bCs/>
          <w:b/>
        </w:rPr>
        <w:t xml:space="preserve">Last-Mile Delivery (Downstream Transportation and Distribution):</w:t>
      </w:r>
    </w:p>
    <w:p>
      <w:pPr>
        <w:numPr>
          <w:ilvl w:val="1"/>
          <w:numId w:val="1011"/>
        </w:numPr>
        <w:pStyle w:val="Compact"/>
      </w:pPr>
      <w:r>
        <w:t xml:space="preserve">Mode: Light Commercial Vehicle (Diesel)</w:t>
      </w:r>
    </w:p>
    <w:p>
      <w:pPr>
        <w:numPr>
          <w:ilvl w:val="1"/>
          <w:numId w:val="1011"/>
        </w:numPr>
        <w:pStyle w:val="Compact"/>
      </w:pPr>
      <w:r>
        <w:t xml:space="preserve">Assumed Distance: 50 km</w:t>
      </w:r>
    </w:p>
    <w:p>
      <w:pPr>
        <w:numPr>
          <w:ilvl w:val="1"/>
          <w:numId w:val="1011"/>
        </w:numPr>
        <w:pStyle w:val="Compact"/>
      </w:pPr>
      <w:r>
        <w:t xml:space="preserve">Emission Factor (Light Commercial Vehicle): 0.15 kg CO2e/km</w:t>
      </w:r>
    </w:p>
    <w:p>
      <w:pPr>
        <w:numPr>
          <w:ilvl w:val="1"/>
          <w:numId w:val="1011"/>
        </w:numPr>
        <w:pStyle w:val="Compact"/>
      </w:pPr>
      <w:r>
        <w:t xml:space="preserve">Assumption: Vehicle delivers 20 units per 50 km journey for allocation purposes.</w:t>
      </w:r>
    </w:p>
    <w:p>
      <w:pPr>
        <w:numPr>
          <w:ilvl w:val="1"/>
          <w:numId w:val="1011"/>
        </w:numPr>
        <w:pStyle w:val="Compact"/>
      </w:pPr>
      <w:r>
        <w:rPr>
          <w:bCs/>
          <w:b/>
        </w:rPr>
        <w:t xml:space="preserve">Emissions:</w:t>
      </w:r>
      <w:r>
        <w:t xml:space="preserve"> </w:t>
      </w:r>
      <w:r>
        <w:t xml:space="preserve">(50 km * 0.15 kg CO2e/km) / 20 units =</w:t>
      </w:r>
      <w:r>
        <w:t xml:space="preserve"> </w:t>
      </w:r>
      <w:r>
        <w:rPr>
          <w:bCs/>
          <w:b/>
        </w:rPr>
        <w:t xml:space="preserve">0.375 kg CO2e</w:t>
      </w:r>
    </w:p>
    <w:p>
      <w:pPr>
        <w:numPr>
          <w:ilvl w:val="0"/>
          <w:numId w:val="1009"/>
        </w:numPr>
        <w:pStyle w:val="Compact"/>
      </w:pPr>
      <w:r>
        <w:rPr>
          <w:bCs/>
          <w:b/>
        </w:rPr>
        <w:t xml:space="preserve">Total Transport Emissions:</w:t>
      </w:r>
      <w:r>
        <w:t xml:space="preserve"> </w:t>
      </w:r>
      <w:r>
        <w:t xml:space="preserve">0.506 + 0.375 =</w:t>
      </w:r>
      <w:r>
        <w:t xml:space="preserve"> </w:t>
      </w:r>
      <w:r>
        <w:rPr>
          <w:bCs/>
          <w:b/>
        </w:rPr>
        <w:t xml:space="preserve">0.881 kg CO2e</w:t>
      </w:r>
    </w:p>
    <w:bookmarkEnd w:id="38"/>
    <w:bookmarkStart w:id="39" w:name="X687445901a9235e23446a36286990b6b14efa53"/>
    <w:p>
      <w:pPr>
        <w:pStyle w:val="Heading3"/>
      </w:pPr>
      <w:r>
        <w:t xml:space="preserve">Use Phase (Scope 3 - Category 11: Use of Sold Products)</w:t>
      </w:r>
    </w:p>
    <w:p>
      <w:pPr>
        <w:pStyle w:val="FirstParagraph"/>
      </w:pPr>
      <w:r>
        <w:t xml:space="preserve">Emissions during the product\'s use phase are based on its energy consumption over its lifespan and the average electricity grid mix in Europe.</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Energy Consumed: 5 years * 20 kWh/year = 100 kWh</w:t>
      </w:r>
    </w:p>
    <w:p>
      <w:pPr>
        <w:numPr>
          <w:ilvl w:val="0"/>
          <w:numId w:val="1012"/>
        </w:numPr>
        <w:pStyle w:val="Compact"/>
      </w:pPr>
      <w:r>
        <w:t xml:space="preserve">Emission Factor (European Union Grid Mix, 2019 average): 0.238 kg CO2e/kWh</w:t>
      </w:r>
    </w:p>
    <w:p>
      <w:pPr>
        <w:numPr>
          <w:ilvl w:val="0"/>
          <w:numId w:val="1012"/>
        </w:numPr>
        <w:pStyle w:val="Compact"/>
      </w:pPr>
      <w:r>
        <w:rPr>
          <w:bCs/>
          <w:b/>
        </w:rPr>
        <w:t xml:space="preserve">Use Phase Emissions:</w:t>
      </w:r>
      <w:r>
        <w:t xml:space="preserve"> </w:t>
      </w:r>
      <w:r>
        <w:t xml:space="preserve">100 kWh * 0.238 kg CO2e/kWh =</w:t>
      </w:r>
      <w:r>
        <w:t xml:space="preserve"> </w:t>
      </w:r>
      <w:r>
        <w:rPr>
          <w:bCs/>
          <w:b/>
        </w:rPr>
        <w:t xml:space="preserve">23.8 kg CO2e</w:t>
      </w:r>
    </w:p>
    <w:bookmarkEnd w:id="39"/>
    <w:bookmarkStart w:id="40" w:name="X3c0263bea695149a0b858870bb13e355e904d5e"/>
    <w:p>
      <w:pPr>
        <w:pStyle w:val="Heading3"/>
      </w:pPr>
      <w:r>
        <w:t xml:space="preserve">End-of-Life (EoL) Treatment (Scope 3 - Category 12: End-of-Life Treatment of Sold Products)</w:t>
      </w:r>
    </w:p>
    <w:p>
      <w:pPr>
        <w:pStyle w:val="FirstParagraph"/>
      </w:pPr>
      <w:r>
        <w:t xml:space="preserve">The EoL scenario considers the recyclability of the product and the impact of circular economy programs.</w:t>
      </w:r>
    </w:p>
    <w:p>
      <w:pPr>
        <w:numPr>
          <w:ilvl w:val="0"/>
          <w:numId w:val="1013"/>
        </w:numPr>
        <w:pStyle w:val="Compact"/>
      </w:pPr>
      <w:r>
        <w:t xml:space="preserve">Total Product Weight: 1.1 kg</w:t>
      </w:r>
    </w:p>
    <w:p>
      <w:pPr>
        <w:numPr>
          <w:ilvl w:val="0"/>
          <w:numId w:val="1013"/>
        </w:numPr>
        <w:pStyle w:val="Compact"/>
      </w:pPr>
      <w:r>
        <w:t xml:space="preserve">Recyclability Percentage: 70%</w:t>
      </w:r>
    </w:p>
    <w:p>
      <w:pPr>
        <w:numPr>
          <w:ilvl w:val="0"/>
          <w:numId w:val="1013"/>
        </w:numPr>
        <w:pStyle w:val="Compact"/>
      </w:pPr>
      <w:r>
        <w:t xml:space="preserve">Disposed Portion: 1.1 kg * (1 - 0.70) = 0.33 kg</w:t>
      </w:r>
    </w:p>
    <w:p>
      <w:pPr>
        <w:numPr>
          <w:ilvl w:val="0"/>
          <w:numId w:val="1013"/>
        </w:numPr>
        <w:pStyle w:val="Compact"/>
      </w:pPr>
      <w:r>
        <w:t xml:space="preserve">Recycled Portion: 1.1 kg * 0.70 = 0.77 kg</w:t>
      </w:r>
    </w:p>
    <w:p>
      <w:pPr>
        <w:numPr>
          <w:ilvl w:val="0"/>
          <w:numId w:val="1013"/>
        </w:numPr>
        <w:pStyle w:val="Compact"/>
      </w:pPr>
      <w:r>
        <w:t xml:space="preserve">Emission Factor (General Waste Disposal, illustrative): 1.0 kg CO2e/kg (for non-recycled materials)</w:t>
      </w:r>
    </w:p>
    <w:p>
      <w:pPr>
        <w:numPr>
          <w:ilvl w:val="0"/>
          <w:numId w:val="1013"/>
        </w:numPr>
        <w:pStyle w:val="Compact"/>
      </w:pPr>
      <w:r>
        <w:t xml:space="preserve">Emissions from Disposal: 0.33 kg * 1.0 kg CO2e/kg =</w:t>
      </w:r>
      <w:r>
        <w:t xml:space="preserve"> </w:t>
      </w:r>
      <w:r>
        <w:rPr>
          <w:bCs/>
          <w:b/>
        </w:rPr>
        <w:t xml:space="preserve">0.33 kg CO2e</w:t>
      </w:r>
    </w:p>
    <w:p>
      <w:pPr>
        <w:numPr>
          <w:ilvl w:val="0"/>
          <w:numId w:val="1013"/>
        </w:numPr>
        <w:pStyle w:val="Compact"/>
      </w:pPr>
      <w:r>
        <w:rPr>
          <w:bCs/>
          <w:b/>
        </w:rPr>
        <w:t xml:space="preserve">Recycling Credit:</w:t>
      </w:r>
      <w:r>
        <w:t xml:space="preserve"> </w:t>
      </w:r>
      <w:r>
        <w:t xml:space="preserve">To reflect circular economy impacts and avoided virgin material production, a credit is applied for the recycled portion. Assuming a 50% emissions avoidance for recycled materials compared to virgin production.</w:t>
      </w:r>
    </w:p>
    <w:p>
      <w:pPr>
        <w:numPr>
          <w:ilvl w:val="1"/>
          <w:numId w:val="1014"/>
        </w:numPr>
        <w:pStyle w:val="Compact"/>
      </w:pPr>
      <w:r>
        <w:t xml:space="preserve">Total Virgin Material Emissions: 6.08 kg CO2e</w:t>
      </w:r>
    </w:p>
    <w:p>
      <w:pPr>
        <w:numPr>
          <w:ilvl w:val="1"/>
          <w:numId w:val="1014"/>
        </w:numPr>
        <w:pStyle w:val="Compact"/>
      </w:pPr>
      <w:r>
        <w:t xml:space="preserve">Credit for Recycled Portion: 6.08 kg CO2e * 0.70 (recyclability) * 0.50 (avoidance factor) = 2.128 kg CO2e (credit)</w:t>
      </w:r>
    </w:p>
    <w:p>
      <w:pPr>
        <w:numPr>
          <w:ilvl w:val="0"/>
          <w:numId w:val="1013"/>
        </w:numPr>
        <w:pStyle w:val="Compact"/>
      </w:pPr>
      <w:r>
        <w:rPr>
          <w:bCs/>
          <w:b/>
        </w:rPr>
        <w:t xml:space="preserve">Net End-of-Life Emissions:</w:t>
      </w:r>
      <w:r>
        <w:t xml:space="preserve"> </w:t>
      </w:r>
      <w:r>
        <w:t xml:space="preserve">0.33 kg CO2e (disposal) - 2.128 kg CO2e (credit) =</w:t>
      </w:r>
      <w:r>
        <w:t xml:space="preserve"> </w:t>
      </w:r>
      <w:r>
        <w:rPr>
          <w:bCs/>
          <w:b/>
        </w:rPr>
        <w:t xml:space="preserve">-1.798 kg CO2e</w:t>
      </w:r>
    </w:p>
    <w:bookmarkEnd w:id="40"/>
    <w:bookmarkStart w:id="41" w:name="total-product-carbon-footprint-pcf"/>
    <w:p>
      <w:pPr>
        <w:pStyle w:val="Heading3"/>
      </w:pPr>
      <w:r>
        <w:t xml:space="preserve">Total Product Carbon Footprint (PCF)</w:t>
      </w:r>
    </w:p>
    <w:p>
      <w:pPr>
        <w:pStyle w:val="FirstParagraph"/>
      </w:pPr>
      <w:r>
        <w:t xml:space="preserve">Summing the emissions from all lifecycle stages:</w:t>
      </w:r>
    </w:p>
    <w:p>
      <w:pPr>
        <w:pStyle w:val="BodyText"/>
      </w:pPr>
      <w:r>
        <w:t xml:space="preserve">6.08 kg CO2e (Materials) + 2.785 kg CO2e (Manufacturing) + 0.881 kg CO2e (Transport) + 23.8 kg CO2e (Use Phase) - 1.798 kg CO2e (End-of-Life) =</w:t>
      </w:r>
      <w:r>
        <w:t xml:space="preserve"> </w:t>
      </w:r>
      <w:r>
        <w:rPr>
          <w:bCs/>
          <w:b/>
        </w:rPr>
        <w:t xml:space="preserve">31.748 kg CO2e</w:t>
      </w:r>
    </w:p>
    <w:bookmarkEnd w:id="41"/>
    <w:bookmarkStart w:id="42" w:name="ghg-protocol-scopes-summary"/>
    <w:p>
      <w:pPr>
        <w:pStyle w:val="Heading3"/>
      </w:pPr>
      <w:r>
        <w:t xml:space="preserve">GHG Protocol Scopes Summary</w:t>
      </w:r>
    </w:p>
    <w:p>
      <w:pPr>
        <w:pStyle w:val="FirstParagraph"/>
      </w:pPr>
      <w:r>
        <w:t xml:space="preserve">The total PCF can be broken down according to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Direct emissions from owned or controlled sources (e.g., on-site fuel combustion)</w:t>
            </w:r>
          </w:p>
        </w:tc>
        <w:tc>
          <w:tcPr/>
          <w:p>
            <w:pPr>
              <w:pStyle w:val="Compact"/>
              <w:jc w:val="left"/>
            </w:pPr>
            <w:r>
              <w:t xml:space="preserve">0.00 (Assumed negligible/not applicable)</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Indirect emissions from the generation of purchased electricity, steam, heating, and cooling consumed by the reporting company</w:t>
            </w:r>
          </w:p>
        </w:tc>
        <w:tc>
          <w:tcPr/>
          <w:p>
            <w:pPr>
              <w:pStyle w:val="Compact"/>
              <w:jc w:val="left"/>
            </w:pPr>
            <w:r>
              <w:t xml:space="preserve">2.785</w:t>
            </w:r>
          </w:p>
        </w:tc>
      </w:tr>
      <w:tr>
        <w:tc>
          <w:tcPr/>
          <w:p>
            <w:pPr>
              <w:pStyle w:val="Compact"/>
              <w:jc w:val="left"/>
            </w:pPr>
            <w:r>
              <w:rPr>
                <w:bCs/>
                <w:b/>
              </w:rPr>
              <w:t xml:space="preserve">Scope 3</w:t>
            </w:r>
            <w:r>
              <w:t xml:space="preserve"> </w:t>
            </w:r>
            <w:r>
              <w:t xml:space="preserve">(Value Chain Emissions)</w:t>
            </w:r>
          </w:p>
        </w:tc>
        <w:tc>
          <w:tcPr/>
          <w:p>
            <w:pPr>
              <w:pStyle w:val="Compact"/>
            </w:pPr>
          </w:p>
        </w:tc>
        <w:tc>
          <w:tcPr/>
          <w:p>
            <w:pPr>
              <w:pStyle w:val="Compact"/>
            </w:pPr>
          </w:p>
        </w:tc>
      </w:tr>
      <w:tr>
        <w:tc>
          <w:tcPr/>
          <w:p>
            <w:pPr>
              <w:pStyle w:val="Compact"/>
            </w:pPr>
          </w:p>
        </w:tc>
        <w:tc>
          <w:tcPr/>
          <w:p>
            <w:pPr>
              <w:pStyle w:val="Compact"/>
              <w:jc w:val="left"/>
            </w:pPr>
            <w:r>
              <w:t xml:space="preserve">Category 1: Purchased Goods &amp; Services (Materials)</w:t>
            </w:r>
          </w:p>
        </w:tc>
        <w:tc>
          <w:tcPr/>
          <w:p>
            <w:pPr>
              <w:pStyle w:val="Compact"/>
              <w:jc w:val="left"/>
            </w:pPr>
            <w:r>
              <w:t xml:space="preserve">6.08</w:t>
            </w:r>
          </w:p>
        </w:tc>
      </w:tr>
      <w:tr>
        <w:tc>
          <w:tcPr/>
          <w:p>
            <w:pPr>
              <w:pStyle w:val="Compact"/>
            </w:pPr>
          </w:p>
        </w:tc>
        <w:tc>
          <w:tcPr/>
          <w:p>
            <w:pPr>
              <w:pStyle w:val="Compact"/>
              <w:jc w:val="left"/>
            </w:pPr>
            <w:r>
              <w:t xml:space="preserve">Category 4: Upstream Transportation &amp; Distribution (Main Transport)</w:t>
            </w:r>
          </w:p>
        </w:tc>
        <w:tc>
          <w:tcPr/>
          <w:p>
            <w:pPr>
              <w:pStyle w:val="Compact"/>
              <w:jc w:val="left"/>
            </w:pPr>
            <w:r>
              <w:t xml:space="preserve">0.506</w:t>
            </w:r>
          </w:p>
        </w:tc>
      </w:tr>
      <w:tr>
        <w:tc>
          <w:tcPr/>
          <w:p>
            <w:pPr>
              <w:pStyle w:val="Compact"/>
            </w:pPr>
          </w:p>
        </w:tc>
        <w:tc>
          <w:tcPr/>
          <w:p>
            <w:pPr>
              <w:pStyle w:val="Compact"/>
              <w:jc w:val="left"/>
            </w:pPr>
            <w:r>
              <w:t xml:space="preserve">Category 9: Downstream Transportation &amp; Distribution (Last-Mile)</w:t>
            </w:r>
          </w:p>
        </w:tc>
        <w:tc>
          <w:tcPr/>
          <w:p>
            <w:pPr>
              <w:pStyle w:val="Compact"/>
              <w:jc w:val="left"/>
            </w:pPr>
            <w:r>
              <w:t xml:space="preserve">0.375</w:t>
            </w:r>
          </w:p>
        </w:tc>
      </w:tr>
      <w:tr>
        <w:tc>
          <w:tcPr/>
          <w:p>
            <w:pPr>
              <w:pStyle w:val="Compact"/>
            </w:pPr>
          </w:p>
        </w:tc>
        <w:tc>
          <w:tcPr/>
          <w:p>
            <w:pPr>
              <w:pStyle w:val="Compact"/>
              <w:jc w:val="left"/>
            </w:pPr>
            <w:r>
              <w:t xml:space="preserve">Category 11: Use of Sold Products</w:t>
            </w:r>
          </w:p>
        </w:tc>
        <w:tc>
          <w:tcPr/>
          <w:p>
            <w:pPr>
              <w:pStyle w:val="Compact"/>
              <w:jc w:val="left"/>
            </w:pPr>
            <w:r>
              <w:t xml:space="preserve">23.80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-1.798</w:t>
            </w:r>
          </w:p>
        </w:tc>
      </w:tr>
      <w:tr>
        <w:tc>
          <w:tcPr/>
          <w:p>
            <w:pPr>
              <w:pStyle w:val="Compact"/>
            </w:pPr>
          </w:p>
        </w:tc>
        <w:tc>
          <w:tcPr/>
          <w:p>
            <w:pPr>
              <w:pStyle w:val="Compact"/>
              <w:jc w:val="left"/>
            </w:pPr>
            <w:r>
              <w:rPr>
                <w:bCs/>
                <w:b/>
              </w:rPr>
              <w:t xml:space="preserve">Total Scope 3 Emissions</w:t>
            </w:r>
          </w:p>
        </w:tc>
        <w:tc>
          <w:tcPr/>
          <w:p>
            <w:pPr>
              <w:pStyle w:val="Compact"/>
              <w:jc w:val="left"/>
            </w:pPr>
            <w:r>
              <w:rPr>
                <w:bCs/>
                <w:b/>
              </w:rPr>
              <w:t xml:space="preserve">28.963</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31.748</w:t>
            </w:r>
          </w:p>
        </w:tc>
      </w:tr>
    </w:tbl>
    <w:p>
      <w:pPr>
        <w:pStyle w:val="BodyText"/>
      </w:pPr>
      <w:r>
        <w:rPr>
          <w:iCs/>
          <w:i/>
        </w:rPr>
        <w:t xml:space="preserve">GHG Protocol Scope 3 categories adapted from official guidance.</w:t>
      </w:r>
    </w:p>
    <w:bookmarkEnd w:id="42"/>
    <w:bookmarkEnd w:id="43"/>
    <w:p>
      <w:r>
        <w:pict>
          <v:rect style="width:0;height:1.5pt" o:hralign="center" o:hrstd="t" o:hr="t"/>
        </w:pict>
      </w:r>
    </w:p>
    <w:bookmarkStart w:id="47" w:name="review-report"/>
    <w:p>
      <w:pPr>
        <w:pStyle w:val="Heading2"/>
      </w:pPr>
      <w:r>
        <w:t xml:space="preserve">5. Review &amp; Report</w:t>
      </w:r>
    </w:p>
    <w:bookmarkStart w:id="44" w:name="emissions-hotspots"/>
    <w:p>
      <w:pPr>
        <w:pStyle w:val="Heading3"/>
      </w:pPr>
      <w:r>
        <w:t xml:space="preserve">Emissions Hotspots</w:t>
      </w:r>
    </w:p>
    <w:p>
      <w:pPr>
        <w:pStyle w:val="FirstParagraph"/>
      </w:pPr>
      <w:r>
        <w:t xml:space="preserve">The analysis reveals the following emissions hotspots for hqwdhlpdlj:</w:t>
      </w:r>
    </w:p>
    <w:p>
      <w:pPr>
        <w:numPr>
          <w:ilvl w:val="0"/>
          <w:numId w:val="1015"/>
        </w:numPr>
        <w:pStyle w:val="Compact"/>
      </w:pPr>
      <w:r>
        <w:rPr>
          <w:bCs/>
          <w:b/>
        </w:rPr>
        <w:t xml:space="preserve">Use Phase (23.8 kg CO2e):</w:t>
      </w:r>
      <w:r>
        <w:t xml:space="preserve"> </w:t>
      </w:r>
      <w:r>
        <w:t xml:space="preserve">This stage contributes the most significant portion of the PCF, primarily due to the energy consumption during the product\'s 5-year lifespan. This highlights the critical need for energy efficiency improvements in product design and user behavior guidance.</w:t>
      </w:r>
    </w:p>
    <w:p>
      <w:pPr>
        <w:numPr>
          <w:ilvl w:val="0"/>
          <w:numId w:val="1015"/>
        </w:numPr>
        <w:pStyle w:val="Compact"/>
      </w:pPr>
      <w:r>
        <w:rPr>
          <w:bCs/>
          <w:b/>
        </w:rPr>
        <w:t xml:space="preserve">Materials Acquisition (6.08 kg CO2e):</w:t>
      </w:r>
      <w:r>
        <w:t xml:space="preserve"> </w:t>
      </w:r>
      <w:r>
        <w:t xml:space="preserve">The production of materials, particularly the aluminum casing and electronic components, represents a substantial upstream impact. Sustainable sourcing and material lightweighting initiatives are crucial.</w:t>
      </w:r>
    </w:p>
    <w:p>
      <w:pPr>
        <w:numPr>
          <w:ilvl w:val="0"/>
          <w:numId w:val="1015"/>
        </w:numPr>
        <w:pStyle w:val="Compact"/>
      </w:pPr>
      <w:r>
        <w:rPr>
          <w:bCs/>
          <w:b/>
        </w:rPr>
        <w:t xml:space="preserve">Manufacturing (2.785 kg CO2e):</w:t>
      </w:r>
      <w:r>
        <w:t xml:space="preserve"> </w:t>
      </w:r>
      <w:r>
        <w:t xml:space="preserve">While partially offset by renewable energy usage, the remaining grid electricity consumption in China contributes significantly. Further increasing renewable energy adoption or improving energy efficiency in manufacturing operations could reduce this impact.</w:t>
      </w:r>
    </w:p>
    <w:bookmarkEnd w:id="44"/>
    <w:bookmarkStart w:id="45" w:name="reliability-and-limitations"/>
    <w:p>
      <w:pPr>
        <w:pStyle w:val="Heading3"/>
      </w:pPr>
      <w:r>
        <w:t xml:space="preserve">Reliability and Limitations</w:t>
      </w:r>
    </w:p>
    <w:p>
      <w:pPr>
        <w:pStyle w:val="FirstParagraph"/>
      </w:pPr>
      <w:r>
        <w:t xml:space="preserve">The reliability of this PCF analysis is high due to the utilization of detailed primary data for the Bill of Materials and specific operational parameters. However, certain limitations and assumptions should be noted:</w:t>
      </w:r>
    </w:p>
    <w:p>
      <w:pPr>
        <w:numPr>
          <w:ilvl w:val="0"/>
          <w:numId w:val="1016"/>
        </w:numPr>
        <w:pStyle w:val="Compact"/>
      </w:pPr>
      <w:r>
        <w:rPr>
          <w:bCs/>
          <w:b/>
        </w:rPr>
        <w:t xml:space="preserve">Emission Factors:</w:t>
      </w:r>
      <w:r>
        <w:t xml:space="preserve"> </w:t>
      </w:r>
      <w:r>
        <w:t xml:space="preserve">While industry-standard emission factors were used (e.g., from Climatiq, EPA, GLEC, PwC for electricity and transport), these are generic averages and may not perfectly reflect supplier-specific or real-time conditions.</w:t>
      </w:r>
    </w:p>
    <w:p>
      <w:pPr>
        <w:numPr>
          <w:ilvl w:val="0"/>
          <w:numId w:val="1016"/>
        </w:numPr>
        <w:pStyle w:val="Compact"/>
      </w:pPr>
      <w:r>
        <w:rPr>
          <w:bCs/>
          <w:b/>
        </w:rPr>
        <w:t xml:space="preserve">Transport Assumptions:</w:t>
      </w:r>
      <w:r>
        <w:t xml:space="preserve"> </w:t>
      </w:r>
      <w:r>
        <w:t xml:space="preserve">Illustrative distances and allocation factors were used for last-mile delivery due to the absence of specific detailed logistics data for every delivery scenario.</w:t>
      </w:r>
    </w:p>
    <w:p>
      <w:pPr>
        <w:numPr>
          <w:ilvl w:val="0"/>
          <w:numId w:val="1016"/>
        </w:numPr>
        <w:pStyle w:val="Compact"/>
      </w:pPr>
      <w:r>
        <w:rPr>
          <w:bCs/>
          <w:b/>
        </w:rPr>
        <w:t xml:space="preserve">LSR Standard:</w:t>
      </w:r>
      <w:r>
        <w:t xml:space="preserve"> </w:t>
      </w:r>
      <w:r>
        <w:t xml:space="preserve">The 2026 LSR Standard is acknowledged, but its full application was limited by the absence of specific land-use impact data for the product\'s raw materials or manufacturing processes.</w:t>
      </w:r>
    </w:p>
    <w:p>
      <w:pPr>
        <w:numPr>
          <w:ilvl w:val="0"/>
          <w:numId w:val="1016"/>
        </w:numPr>
        <w:pStyle w:val="Compact"/>
      </w:pPr>
      <w:r>
        <w:rPr>
          <w:bCs/>
          <w:b/>
        </w:rPr>
        <w:t xml:space="preserve">Scope 3 Coverage:</w:t>
      </w:r>
      <w:r>
        <w:t xml:space="preserve"> </w:t>
      </w:r>
      <w:r>
        <w:t xml:space="preserve">While efforts were made to achieve &gt;95% Scope 3 coverage, minor categories not explicitly detailed in the provided parameters (e.g., business travel, employee commuting for nszrqvfgdm) were assumed to be outside the product-level PCF boundary or negligible for this specific analysis.</w:t>
      </w:r>
    </w:p>
    <w:bookmarkEnd w:id="45"/>
    <w:bookmarkStart w:id="46" w:name="recommendations-for-reduction"/>
    <w:p>
      <w:pPr>
        <w:pStyle w:val="Heading3"/>
      </w:pPr>
      <w:r>
        <w:t xml:space="preserve">Recommendations for Reduction</w:t>
      </w:r>
    </w:p>
    <w:p>
      <w:pPr>
        <w:numPr>
          <w:ilvl w:val="0"/>
          <w:numId w:val="1017"/>
        </w:numPr>
        <w:pStyle w:val="Compact"/>
      </w:pPr>
      <w:r>
        <w:rPr>
          <w:bCs/>
          <w:b/>
        </w:rPr>
        <w:t xml:space="preserve">Optimize Use Phase Energy Efficiency:</w:t>
      </w:r>
      <w:r>
        <w:t xml:space="preserve"> </w:t>
      </w:r>
      <w:r>
        <w:t xml:space="preserve">Redesign hqwdhlpdlj for lower energy consumption during its lifespan. Provide users with clear instructions and tools for energy-efficient operation.</w:t>
      </w:r>
    </w:p>
    <w:p>
      <w:pPr>
        <w:numPr>
          <w:ilvl w:val="0"/>
          <w:numId w:val="1017"/>
        </w:numPr>
        <w:pStyle w:val="Compact"/>
      </w:pPr>
      <w:r>
        <w:rPr>
          <w:bCs/>
          <w:b/>
        </w:rPr>
        <w:t xml:space="preserve">Enhance Material Circularity:</w:t>
      </w:r>
      <w:r>
        <w:t xml:space="preserve"> </w:t>
      </w:r>
      <w:r>
        <w:t xml:space="preserve">Increase the recyclability percentage beyond nrwdqhtyml (70%) and explore higher recycled content in raw materials. Expand take-back programs (mmgudhrudf) to ensure materials are effectively re-entered into the circular economy.</w:t>
      </w:r>
    </w:p>
    <w:p>
      <w:pPr>
        <w:numPr>
          <w:ilvl w:val="0"/>
          <w:numId w:val="1017"/>
        </w:numPr>
        <w:pStyle w:val="Compact"/>
      </w:pPr>
      <w:r>
        <w:rPr>
          <w:bCs/>
          <w:b/>
        </w:rPr>
        <w:t xml:space="preserve">Decarbonize Manufacturing:</w:t>
      </w:r>
      <w:r>
        <w:t xml:space="preserve"> </w:t>
      </w:r>
      <w:r>
        <w:t xml:space="preserve">Further invest in or source 100% renewable energy for manufacturing operations in China. Explore energy-efficient manufacturing technologies to reduce overall energy intensity.</w:t>
      </w:r>
    </w:p>
    <w:p>
      <w:pPr>
        <w:numPr>
          <w:ilvl w:val="0"/>
          <w:numId w:val="1017"/>
        </w:numPr>
        <w:pStyle w:val="Compact"/>
      </w:pPr>
      <w:r>
        <w:rPr>
          <w:bCs/>
          <w:b/>
        </w:rPr>
        <w:t xml:space="preserve">Supply Chain Engagement:</w:t>
      </w:r>
      <w:r>
        <w:t xml:space="preserve"> </w:t>
      </w:r>
      <w:r>
        <w:t xml:space="preserve">Engage with upstream suppliers to identify and reduce emissions associated with material extraction and processing, particularly for high-impact components like electronics.</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hqwdhlpdlj</dc:title>
  <dc:creator/>
  <dc:description>High-detail Product Carbon Footprint (PCF) analysis for product hqwdhlpdlj by nszrqvfgdm, conducted by Senior Sustainability Consultant tlmmhwrunv, adhering to GHG Protocol and 2026 LSR update requirements.</dc:description>
  <dc:language>en</dc:language>
  <cp:keywords/>
  <dcterms:created xsi:type="dcterms:W3CDTF">2026-05-30T23:59:11Z</dcterms:created>
  <dcterms:modified xsi:type="dcterms:W3CDTF">2026-05-30T23:59:11Z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