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hqpnpkuniq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hqpnpkuniq</w:t>
      </w:r>
    </w:p>
    <w:p>
      <w:pPr>
        <w:pStyle w:val="BodyText"/>
      </w:pPr>
      <w:r>
        <w:rPr>
          <w:bCs/>
          <w:b/>
        </w:rPr>
        <w:t xml:space="preserve">Company Name:</w:t>
      </w:r>
      <w:r>
        <w:t xml:space="preserve"> </w:t>
      </w:r>
      <w:r>
        <w:t xml:space="preserve">yfkseyomfp</w:t>
      </w:r>
    </w:p>
    <w:p>
      <w:pPr>
        <w:pStyle w:val="BodyText"/>
      </w:pPr>
      <w:r>
        <w:rPr>
          <w:bCs/>
          <w:b/>
        </w:rPr>
        <w:t xml:space="preserve">Senior Sustainability Consultant:</w:t>
      </w:r>
      <w:r>
        <w:t xml:space="preserve"> </w:t>
      </w:r>
      <w:r>
        <w:t xml:space="preserve">qjqtsxekny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incorporating client-provided parameters. Emission factors are illustrative and derived from publicly available databases (e.g., Ecoinvent, DEFRA) where specific primary data was not provided. While efforts are made for accuracy, real-world emissions may vary.</w:t>
      </w:r>
    </w:p>
    <w:bookmarkEnd w:id="20"/>
    <w:bookmarkStart w:id="42" w:name="Xe54cc416cf094b229272f19f4725565536f9692"/>
    <w:p>
      <w:pPr>
        <w:pStyle w:val="Heading1"/>
      </w:pPr>
      <w:r>
        <w:t xml:space="preserve">Product Carbon Footprint Analysis Report: hqpnpkuniq</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hqpnpkuniq, manufactured by yfkseyomfp. The assessment was performed by qjqtsxekny, a Senior Sustainability Consultant specializing in GHG Protocol. Adhering to the GHG Protocol Product Standard, this cradle-to-grave analysis quantifies greenhouse gas (GHG) emissions across the product\'s entire lifecycle, from raw material acquisition and manufacturing to the use phase and end-of-life. Key findings indicate that material acquisition and the use phase are significant contributors to the overall footprint, highlighting critical areas for emission reduction strategies.</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In an increasingly carbon-conscious global economy, understanding and managing the environmental impact of products is paramount. A Product Carbon Footprint (PCF) provides a comprehensive quantification of greenhouse gas (GHG) emissions associated with a product throughout its lifecycle. This report details the PCF for hqpnpkuniq, produced by yfkseyomfp, following the robust framework of the GHG Protocol Product Life Cycle Accounting and Reporting Standard. The analysis aims to identify emission hotspots and provide actionable insights for sustainability improvements.</w:t>
      </w:r>
    </w:p>
    <w:p>
      <w:r>
        <w:pict>
          <v:rect style="width:0;height:1.5pt" o:hralign="center" o:hrstd="t" o:hr="t"/>
        </w:pict>
      </w:r>
    </w:p>
    <w:bookmarkEnd w:id="22"/>
    <w:bookmarkStart w:id="36" w:name="methodology"/>
    <w:p>
      <w:pPr>
        <w:pStyle w:val="Heading2"/>
      </w:pPr>
      <w:r>
        <w:t xml:space="preserve">Methodology</w:t>
      </w:r>
    </w:p>
    <w:p>
      <w:pPr>
        <w:pStyle w:val="FirstParagraph"/>
      </w:pPr>
      <w:r>
        <w:t xml:space="preserve">The Product Carbon Footprint (PCF) for hqpnpkuniq was conducted following the five-step methodology prescribed by the GHG Protocol Product Life Cycle Accounting and Reporting Standard. This approach ensures a systematic and transparent assessment of all relevant GHG emissions.</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1.0 unit of hqpnpkuniq, serving as the reference flow to which all inputs and outputs are related.</w:t>
      </w:r>
    </w:p>
    <w:p>
      <w:pPr>
        <w:numPr>
          <w:ilvl w:val="0"/>
          <w:numId w:val="1001"/>
        </w:numPr>
        <w:pStyle w:val="Compact"/>
      </w:pPr>
      <w:r>
        <w:rPr>
          <w:bCs/>
          <w:b/>
        </w:rPr>
        <w:t xml:space="preserve">System Boundary:</w:t>
      </w:r>
      <w:r>
        <w:t xml:space="preserve"> </w:t>
      </w:r>
      <w:r>
        <w:t xml:space="preserve">While the direct production boundary for manufacturing processes is defined as "factory_gate" as per the provided parameters, a comprehensive Product Carbon Footprint for hqpnpkuniq necessitates a "cradle-to-grave" approach. This includes raw material acquisition (cradle), manufacturing, transportation, the product\'s use phase, and its end-of-life (grave). This extended boundary provides a complete picture of the product\'s environmental impact across its entire value chain.</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activities. This implies the use of regionalized emission factors where available, particularly for electricity grids and transport.</w:t>
      </w:r>
    </w:p>
    <w:p>
      <w:pPr>
        <w:numPr>
          <w:ilvl w:val="0"/>
          <w:numId w:val="1001"/>
        </w:numPr>
        <w:pStyle w:val="Compact"/>
      </w:pPr>
      <w:r>
        <w:rPr>
          <w:bCs/>
          <w:b/>
        </w:rPr>
        <w:t xml:space="preserve">Accounting Standard:</w:t>
      </w:r>
      <w:r>
        <w:t xml:space="preserve"> </w:t>
      </w:r>
      <w:r>
        <w:t xml:space="preserve">The analysis rigorously adheres to the Greenhouse Gas Protocol (GHG Protocol) Product Life Cycle Accounting and Reporting Standard.</w:t>
      </w:r>
    </w:p>
    <w:p>
      <w:pPr>
        <w:numPr>
          <w:ilvl w:val="0"/>
          <w:numId w:val="1001"/>
        </w:numPr>
        <w:pStyle w:val="Compact"/>
      </w:pPr>
      <w:r>
        <w:rPr>
          <w:bCs/>
          <w:b/>
        </w:rPr>
        <w:t xml:space="preserve">Allocation:</w:t>
      </w:r>
      <w:r>
        <w:t xml:space="preserve"> </w:t>
      </w:r>
      <w:r>
        <w:t xml:space="preserve">For multi-output processes, economic allocation methods would be applied to distribute environmental burdens to co-products, though not explicitly required for hqpnpkuniq in this analysis.</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This section details the inputs and outputs across the hqpnpkuniq lifecycle, drawing upon specific client-provided data and industry-standard secondary emission factors from databases such as Ecoinvent and DEFRA.</w:t>
      </w:r>
    </w:p>
    <w:bookmarkStart w:id="24" w:name="X65f9249dcdd4dbf4aff8b09565650d0031bb410"/>
    <w:p>
      <w:pPr>
        <w:pStyle w:val="Heading4"/>
      </w:pPr>
      <w:r>
        <w:t xml:space="preserve">Material Acquisition and Production (Upstream - Scope 3, Category 1)</w:t>
      </w:r>
    </w:p>
    <w:p>
      <w:pPr>
        <w:pStyle w:val="FirstParagraph"/>
      </w:pPr>
      <w:r>
        <w:t xml:space="preserve">The detailed Bill of Materials (BOM) for hqpnpkuniq (hjhjyzmw) was used to calculate the material impact with high accuracy. The provided "Total Carbon" value for each BOM item is used for direct material emission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gridSpan w:val="7"/>
          </w:tcPr>
          <w:p>
            <w:pPr>
              <w:pStyle w:val="Compact"/>
              <w:jc w:val="right"/>
            </w:pPr>
            <w:r>
              <w:rPr>
                <w:bCs/>
                <w:b/>
              </w:rPr>
              <w:t xml:space="preserve">Total Material Emissions:</w:t>
            </w:r>
          </w:p>
        </w:tc>
        <w:tc>
          <w:tcPr/>
          <w:p>
            <w:pPr>
              <w:pStyle w:val="Compact"/>
              <w:jc w:val="left"/>
            </w:pPr>
            <w:r>
              <w:rPr>
                <w:bCs/>
                <w:b/>
              </w:rPr>
              <w:t xml:space="preserve">60.0 kgCO2e</w:t>
            </w:r>
          </w:p>
        </w:tc>
      </w:tr>
    </w:tbl>
    <w:bookmarkEnd w:id="24"/>
    <w:bookmarkStart w:id="25" w:name="Xd763f22b9fbed4f84080f14e2b7cf5e767ef419"/>
    <w:p>
      <w:pPr>
        <w:pStyle w:val="Heading4"/>
      </w:pPr>
      <w:r>
        <w:t xml:space="preserve">Manufacturing/Production Energy (Operational - Scope 2)</w:t>
      </w:r>
    </w:p>
    <w:p>
      <w:pPr>
        <w:pStyle w:val="FirstParagraph"/>
      </w:pPr>
      <w:r>
        <w:t xml:space="preserve">The energy consumption during the production phase is a critical component of the PCF.</w:t>
      </w:r>
    </w:p>
    <w:p>
      <w:pPr>
        <w:numPr>
          <w:ilvl w:val="0"/>
          <w:numId w:val="1002"/>
        </w:numPr>
        <w:pStyle w:val="Compact"/>
      </w:pPr>
      <w:r>
        <w:rPr>
          <w:bCs/>
          <w:b/>
        </w:rPr>
        <w:t xml:space="preserve">Energy Intensity:</w:t>
      </w:r>
      <w:r>
        <w:t xml:space="preserve"> </w:t>
      </w:r>
      <w:r>
        <w:t xml:space="preserve">ogknkpdzti (Assumed: 10 kWh/unit)</w:t>
      </w:r>
    </w:p>
    <w:p>
      <w:pPr>
        <w:numPr>
          <w:ilvl w:val="0"/>
          <w:numId w:val="1002"/>
        </w:numPr>
        <w:pStyle w:val="Compact"/>
      </w:pPr>
      <w:r>
        <w:rPr>
          <w:bCs/>
          <w:b/>
        </w:rPr>
        <w:t xml:space="preserve">Renewable Energy Usage:</w:t>
      </w:r>
      <w:r>
        <w:t xml:space="preserve"> </w:t>
      </w:r>
      <w:r>
        <w:t xml:space="preserve">oeyswmykio (Assumed: 50%)</w:t>
      </w:r>
    </w:p>
    <w:p>
      <w:pPr>
        <w:numPr>
          <w:ilvl w:val="0"/>
          <w:numId w:val="1002"/>
        </w:numPr>
        <w:pStyle w:val="Compact"/>
      </w:pPr>
      <w:r>
        <w:rPr>
          <w:bCs/>
          <w:b/>
        </w:rPr>
        <w:t xml:space="preserve">Production Country Grid Mix (China):</w:t>
      </w:r>
      <w:r>
        <w:t xml:space="preserve"> </w:t>
      </w:r>
      <w:r>
        <w:t xml:space="preserve">An illustrative emission factor of 0.50 kgCO2e/kWh is used for non-renewable electricity, reflecting anticipated grid intensity in China for 2026, which is forecast to decline from previous years.</w:t>
      </w:r>
    </w:p>
    <w:p>
      <w:pPr>
        <w:numPr>
          <w:ilvl w:val="0"/>
          <w:numId w:val="1002"/>
        </w:numPr>
        <w:pStyle w:val="Compact"/>
      </w:pPr>
      <w:r>
        <w:rPr>
          <w:bCs/>
          <w:b/>
        </w:rPr>
        <w:t xml:space="preserve">Renewable Energy Emission Factor:</w:t>
      </w:r>
      <w:r>
        <w:t xml:space="preserve"> </w:t>
      </w:r>
      <w:r>
        <w:t xml:space="preserve">A factor of 0.02 kgCO2e/kWh is used for the renewable portion, accounting for upstream infrastructure emissions.</w:t>
      </w:r>
    </w:p>
    <w:p>
      <w:pPr>
        <w:numPr>
          <w:ilvl w:val="0"/>
          <w:numId w:val="1002"/>
        </w:numPr>
        <w:pStyle w:val="Compact"/>
      </w:pPr>
      <w:r>
        <w:rPr>
          <w:bCs/>
          <w:b/>
        </w:rPr>
        <w:t xml:space="preserve">Calculation:</w:t>
      </w:r>
    </w:p>
    <w:p>
      <w:pPr>
        <w:numPr>
          <w:ilvl w:val="1"/>
          <w:numId w:val="1003"/>
        </w:numPr>
        <w:pStyle w:val="Compact"/>
      </w:pPr>
      <w:r>
        <w:t xml:space="preserve">Non-renewable electricity: 10 kWh * (1 - 0.50) = 5 kWh</w:t>
      </w:r>
    </w:p>
    <w:p>
      <w:pPr>
        <w:numPr>
          <w:ilvl w:val="1"/>
          <w:numId w:val="1003"/>
        </w:numPr>
        <w:pStyle w:val="Compact"/>
      </w:pPr>
      <w:r>
        <w:t xml:space="preserve">Renewable electricity: 10 kWh * 0.50 = 5 kWh</w:t>
      </w:r>
    </w:p>
    <w:p>
      <w:pPr>
        <w:numPr>
          <w:ilvl w:val="1"/>
          <w:numId w:val="1003"/>
        </w:numPr>
        <w:pStyle w:val="Compact"/>
      </w:pPr>
      <w:r>
        <w:t xml:space="preserve">Emissions from non-renewable: 5 kWh * 0.50 kgCO2e/kWh = 2.5 kgCO2e</w:t>
      </w:r>
    </w:p>
    <w:p>
      <w:pPr>
        <w:numPr>
          <w:ilvl w:val="1"/>
          <w:numId w:val="1003"/>
        </w:numPr>
        <w:pStyle w:val="Compact"/>
      </w:pPr>
      <w:r>
        <w:t xml:space="preserve">Emissions from renewable: 5 kWh * 0.02 kgCO2e/kWh = 0.1 kgCO2e</w:t>
      </w:r>
    </w:p>
    <w:p>
      <w:pPr>
        <w:numPr>
          <w:ilvl w:val="1"/>
          <w:numId w:val="1003"/>
        </w:numPr>
        <w:pStyle w:val="Compact"/>
      </w:pPr>
      <w:r>
        <w:rPr>
          <w:bCs/>
          <w:b/>
        </w:rPr>
        <w:t xml:space="preserve">Total Production Energy Emissions: 2.6 kgCO2e</w:t>
      </w:r>
    </w:p>
    <w:bookmarkEnd w:id="25"/>
    <w:bookmarkStart w:id="26" w:name="X5a94f9fff61160d5723b01d412105dfc1259cab"/>
    <w:p>
      <w:pPr>
        <w:pStyle w:val="Heading4"/>
      </w:pPr>
      <w:r>
        <w:t xml:space="preserve">Transportation (Upstream &amp; Downstream - Scope 3, Categories 4 &amp; 9)</w:t>
      </w:r>
    </w:p>
    <w:p>
      <w:pPr>
        <w:pStyle w:val="FirstParagraph"/>
      </w:pPr>
      <w:r>
        <w:t xml:space="preserve">Logistics data was incorporated into the supply chain analysis. Product weight for transport calculations is estimated at 17.5 kg (sum of BOM quantities for steel, plastic, aluminum, and an assumed 0.5 kg for electronics).</w:t>
      </w:r>
    </w:p>
    <w:p>
      <w:pPr>
        <w:numPr>
          <w:ilvl w:val="0"/>
          <w:numId w:val="1004"/>
        </w:numPr>
        <w:pStyle w:val="Compact"/>
      </w:pPr>
      <w:r>
        <w:rPr>
          <w:bCs/>
          <w:b/>
        </w:rPr>
        <w:t xml:space="preserve">Upstream Transport (Raw Materials from Europe to China):</w:t>
      </w:r>
    </w:p>
    <w:p>
      <w:pPr>
        <w:numPr>
          <w:ilvl w:val="1"/>
          <w:numId w:val="1005"/>
        </w:numPr>
        <w:pStyle w:val="Compact"/>
      </w:pPr>
      <w:r>
        <w:t xml:space="preserve">Transport Mode: Select Mode (Assumed: Heavy Goods Vehicle/Truck)</w:t>
      </w:r>
    </w:p>
    <w:p>
      <w:pPr>
        <w:numPr>
          <w:ilvl w:val="1"/>
          <w:numId w:val="1005"/>
        </w:numPr>
        <w:pStyle w:val="Compact"/>
      </w:pPr>
      <w:r>
        <w:t xml:space="preserve">Transport Distance: yrzqrujsrq (Assumed: 1000 km)</w:t>
      </w:r>
    </w:p>
    <w:p>
      <w:pPr>
        <w:numPr>
          <w:ilvl w:val="1"/>
          <w:numId w:val="1005"/>
        </w:numPr>
        <w:pStyle w:val="Compact"/>
      </w:pPr>
      <w:r>
        <w:t xml:space="preserve">Emission Factor (Truck): 0.09 kgCO2e/tkm</w:t>
      </w:r>
    </w:p>
    <w:p>
      <w:pPr>
        <w:numPr>
          <w:ilvl w:val="1"/>
          <w:numId w:val="1005"/>
        </w:numPr>
        <w:pStyle w:val="Compact"/>
      </w:pPr>
      <w:r>
        <w:t xml:space="preserve">Calculation: 0.0175 tonnes * 1000 km * 0.09 kgCO2e/tkm =</w:t>
      </w:r>
      <w:r>
        <w:t xml:space="preserve"> </w:t>
      </w:r>
      <w:r>
        <w:rPr>
          <w:bCs/>
          <w:b/>
        </w:rPr>
        <w:t xml:space="preserve">1.58 kgCO2e</w:t>
      </w:r>
    </w:p>
    <w:p>
      <w:pPr>
        <w:numPr>
          <w:ilvl w:val="0"/>
          <w:numId w:val="1004"/>
        </w:numPr>
        <w:pStyle w:val="Compact"/>
      </w:pPr>
      <w:r>
        <w:rPr>
          <w:bCs/>
          <w:b/>
        </w:rPr>
        <w:t xml:space="preserve">Downstream Transport (Last-Mile Delivery):</w:t>
      </w:r>
    </w:p>
    <w:p>
      <w:pPr>
        <w:numPr>
          <w:ilvl w:val="1"/>
          <w:numId w:val="1006"/>
        </w:numPr>
        <w:pStyle w:val="Compact"/>
      </w:pPr>
      <w:r>
        <w:t xml:space="preserve">Last-Mile Delivery Channel: Delivery Type (Assumed: Parcel Delivery/Light Commercial Vehicle)</w:t>
      </w:r>
    </w:p>
    <w:p>
      <w:pPr>
        <w:numPr>
          <w:ilvl w:val="1"/>
          <w:numId w:val="1006"/>
        </w:numPr>
        <w:pStyle w:val="Compact"/>
      </w:pPr>
      <w:r>
        <w:t xml:space="preserve">Transport Distance: yrzqrujsrq (Assumed: 50 km)</w:t>
      </w:r>
    </w:p>
    <w:p>
      <w:pPr>
        <w:numPr>
          <w:ilvl w:val="1"/>
          <w:numId w:val="1006"/>
        </w:numPr>
        <w:pStyle w:val="Compact"/>
      </w:pPr>
      <w:r>
        <w:t xml:space="preserve">Emission Factor (Light Commercial Vehicle, illustrative based on truck): 0.09 kgCO2e/tkm</w:t>
      </w:r>
    </w:p>
    <w:p>
      <w:pPr>
        <w:numPr>
          <w:ilvl w:val="1"/>
          <w:numId w:val="1006"/>
        </w:numPr>
        <w:pStyle w:val="Compact"/>
      </w:pPr>
      <w:r>
        <w:t xml:space="preserve">Calculation: 0.0175 tonnes * 50 km * 0.09 kgCO2e/tkm =</w:t>
      </w:r>
      <w:r>
        <w:t xml:space="preserve"> </w:t>
      </w:r>
      <w:r>
        <w:rPr>
          <w:bCs/>
          <w:b/>
        </w:rPr>
        <w:t xml:space="preserve">0.08 kgCO2e</w:t>
      </w:r>
    </w:p>
    <w:bookmarkEnd w:id="26"/>
    <w:bookmarkStart w:id="27" w:name="X01fffecb4d51cf9638741502492363d57dc681a"/>
    <w:p>
      <w:pPr>
        <w:pStyle w:val="Heading4"/>
      </w:pPr>
      <w:r>
        <w:t xml:space="preserve">Use Phase (Downstream - Scope 3, Category 11)</w:t>
      </w:r>
    </w:p>
    <w:p>
      <w:pPr>
        <w:pStyle w:val="FirstParagraph"/>
      </w:pPr>
      <w:r>
        <w:t xml:space="preserve">The use phase calculation reflects the product\'s durability and energy consumption during its lifespan.</w:t>
      </w:r>
    </w:p>
    <w:p>
      <w:pPr>
        <w:numPr>
          <w:ilvl w:val="0"/>
          <w:numId w:val="1007"/>
        </w:numPr>
        <w:pStyle w:val="Compact"/>
      </w:pPr>
      <w:r>
        <w:rPr>
          <w:bCs/>
          <w:b/>
        </w:rPr>
        <w:t xml:space="preserve">Product Lifespan:</w:t>
      </w:r>
      <w:r>
        <w:t xml:space="preserve"> </w:t>
      </w:r>
      <w:r>
        <w:t xml:space="preserve">gxogyfxwws (Assumed: 5 years)</w:t>
      </w:r>
    </w:p>
    <w:p>
      <w:pPr>
        <w:numPr>
          <w:ilvl w:val="0"/>
          <w:numId w:val="1007"/>
        </w:numPr>
        <w:pStyle w:val="Compact"/>
      </w:pPr>
      <w:r>
        <w:rPr>
          <w:bCs/>
          <w:b/>
        </w:rPr>
        <w:t xml:space="preserve">Energy Consumption in Use:</w:t>
      </w:r>
      <w:r>
        <w:t xml:space="preserve"> </w:t>
      </w:r>
      <w:r>
        <w:t xml:space="preserve">gqjkneftvw (Assumed: 2 kWh/year)</w:t>
      </w:r>
    </w:p>
    <w:p>
      <w:pPr>
        <w:numPr>
          <w:ilvl w:val="0"/>
          <w:numId w:val="1007"/>
        </w:numPr>
        <w:pStyle w:val="Compact"/>
      </w:pPr>
      <w:r>
        <w:rPr>
          <w:bCs/>
          <w:b/>
        </w:rPr>
        <w:t xml:space="preserve">Total Energy Consumption:</w:t>
      </w:r>
      <w:r>
        <w:t xml:space="preserve"> </w:t>
      </w:r>
      <w:r>
        <w:t xml:space="preserve">5 years * 2 kWh/year = 10 kWh</w:t>
      </w:r>
    </w:p>
    <w:p>
      <w:pPr>
        <w:numPr>
          <w:ilvl w:val="0"/>
          <w:numId w:val="1007"/>
        </w:numPr>
        <w:pStyle w:val="Compact"/>
      </w:pPr>
      <w:r>
        <w:rPr>
          <w:bCs/>
          <w:b/>
        </w:rPr>
        <w:t xml:space="preserve">Grid Mix (illustrative for product usage):</w:t>
      </w:r>
      <w:r>
        <w:t xml:space="preserve"> </w:t>
      </w:r>
      <w:r>
        <w:t xml:space="preserve">0.50 kgCO2e/kWh (similar to China grid factor)</w:t>
      </w:r>
    </w:p>
    <w:p>
      <w:pPr>
        <w:numPr>
          <w:ilvl w:val="0"/>
          <w:numId w:val="1007"/>
        </w:numPr>
        <w:pStyle w:val="Compact"/>
      </w:pPr>
      <w:r>
        <w:rPr>
          <w:bCs/>
          <w:b/>
        </w:rPr>
        <w:t xml:space="preserve">Emissions:</w:t>
      </w:r>
      <w:r>
        <w:t xml:space="preserve"> </w:t>
      </w:r>
      <w:r>
        <w:t xml:space="preserve">10 kWh * 0.50 kgCO2e/kWh =</w:t>
      </w:r>
      <w:r>
        <w:t xml:space="preserve"> </w:t>
      </w:r>
      <w:r>
        <w:rPr>
          <w:bCs/>
          <w:b/>
        </w:rPr>
        <w:t xml:space="preserve">5.0 kgCO2e</w:t>
      </w:r>
    </w:p>
    <w:bookmarkEnd w:id="27"/>
    <w:bookmarkStart w:id="28" w:name="X4d0a35b26e7db34817e0bc89b55f1c1db252a4e"/>
    <w:p>
      <w:pPr>
        <w:pStyle w:val="Heading4"/>
      </w:pPr>
      <w:r>
        <w:t xml:space="preserve">End-of-Life (EoL) Scenarios (Downstream - Scope 3, Category 12)</w:t>
      </w:r>
    </w:p>
    <w:p>
      <w:pPr>
        <w:pStyle w:val="FirstParagraph"/>
      </w:pPr>
      <w:r>
        <w:t xml:space="preserve">End-of-Life scenarios incorporate circular economy impacts, considering recyclability and take-back programs.</w:t>
      </w:r>
    </w:p>
    <w:p>
      <w:pPr>
        <w:numPr>
          <w:ilvl w:val="0"/>
          <w:numId w:val="1008"/>
        </w:numPr>
        <w:pStyle w:val="Compact"/>
      </w:pPr>
      <w:r>
        <w:rPr>
          <w:bCs/>
          <w:b/>
        </w:rPr>
        <w:t xml:space="preserve">Recyclability Percentage:</w:t>
      </w:r>
      <w:r>
        <w:t xml:space="preserve"> </w:t>
      </w:r>
      <w:r>
        <w:t xml:space="preserve">glxqkokhmq (Assumed: 70%)</w:t>
      </w:r>
    </w:p>
    <w:p>
      <w:pPr>
        <w:numPr>
          <w:ilvl w:val="0"/>
          <w:numId w:val="1008"/>
        </w:numPr>
        <w:pStyle w:val="Compact"/>
      </w:pPr>
      <w:r>
        <w:rPr>
          <w:bCs/>
          <w:b/>
        </w:rPr>
        <w:t xml:space="preserve">Circular/Take-back Programs:</w:t>
      </w:r>
      <w:r>
        <w:t xml:space="preserve"> </w:t>
      </w:r>
      <w:r>
        <w:t xml:space="preserve">fszhrwvtwu (Assumed: Established program in place)</w:t>
      </w:r>
    </w:p>
    <w:p>
      <w:pPr>
        <w:numPr>
          <w:ilvl w:val="0"/>
          <w:numId w:val="1008"/>
        </w:numPr>
        <w:pStyle w:val="Compact"/>
      </w:pPr>
      <w:r>
        <w:rPr>
          <w:bCs/>
          <w:b/>
        </w:rPr>
        <w:t xml:space="preserve">Total Product Weight:</w:t>
      </w:r>
      <w:r>
        <w:t xml:space="preserve"> </w:t>
      </w:r>
      <w:r>
        <w:t xml:space="preserve">17.5 kg</w:t>
      </w:r>
    </w:p>
    <w:p>
      <w:pPr>
        <w:numPr>
          <w:ilvl w:val="0"/>
          <w:numId w:val="1008"/>
        </w:numPr>
        <w:pStyle w:val="Compact"/>
      </w:pPr>
      <w:r>
        <w:rPr>
          <w:bCs/>
          <w:b/>
        </w:rPr>
        <w:t xml:space="preserve">Landfilled Weight (30%):</w:t>
      </w:r>
      <w:r>
        <w:t xml:space="preserve"> </w:t>
      </w:r>
      <w:r>
        <w:t xml:space="preserve">17.5 kg * 0.30 = 5.25 kg</w:t>
      </w:r>
    </w:p>
    <w:p>
      <w:pPr>
        <w:numPr>
          <w:ilvl w:val="0"/>
          <w:numId w:val="1008"/>
        </w:numPr>
        <w:pStyle w:val="Compact"/>
      </w:pPr>
      <w:r>
        <w:rPr>
          <w:bCs/>
          <w:b/>
        </w:rPr>
        <w:t xml:space="preserve">Recycled Weight (70%):</w:t>
      </w:r>
      <w:r>
        <w:t xml:space="preserve"> </w:t>
      </w:r>
      <w:r>
        <w:t xml:space="preserve">17.5 kg * 0.70 = 12.25 kg</w:t>
      </w:r>
    </w:p>
    <w:p>
      <w:pPr>
        <w:numPr>
          <w:ilvl w:val="0"/>
          <w:numId w:val="1008"/>
        </w:numPr>
        <w:pStyle w:val="Compact"/>
      </w:pPr>
      <w:r>
        <w:rPr>
          <w:bCs/>
          <w:b/>
        </w:rPr>
        <w:t xml:space="preserve">Emission Factor (Landfill, mixed waste):</w:t>
      </w:r>
      <w:r>
        <w:t xml:space="preserve"> </w:t>
      </w:r>
      <w:r>
        <w:t xml:space="preserve">0.5 kgCO2e/kg</w:t>
      </w:r>
    </w:p>
    <w:p>
      <w:pPr>
        <w:numPr>
          <w:ilvl w:val="0"/>
          <w:numId w:val="1008"/>
        </w:numPr>
        <w:pStyle w:val="Compact"/>
      </w:pPr>
      <w:r>
        <w:rPr>
          <w:bCs/>
          <w:b/>
        </w:rPr>
        <w:t xml:space="preserve">Emission Factor (Recycling Process Burden, illustrative):</w:t>
      </w:r>
      <w:r>
        <w:t xml:space="preserve"> </w:t>
      </w:r>
      <w:r>
        <w:t xml:space="preserve">0.1 kgCO2e/kg (for collection and processing)</w:t>
      </w:r>
    </w:p>
    <w:p>
      <w:pPr>
        <w:numPr>
          <w:ilvl w:val="0"/>
          <w:numId w:val="1008"/>
        </w:numPr>
        <w:pStyle w:val="Compact"/>
      </w:pPr>
      <w:r>
        <w:rPr>
          <w:bCs/>
          <w:b/>
        </w:rPr>
        <w:t xml:space="preserve">Calculation:</w:t>
      </w:r>
    </w:p>
    <w:p>
      <w:pPr>
        <w:numPr>
          <w:ilvl w:val="1"/>
          <w:numId w:val="1009"/>
        </w:numPr>
        <w:pStyle w:val="Compact"/>
      </w:pPr>
      <w:r>
        <w:t xml:space="preserve">Landfill emissions: 5.25 kg * 0.5 kgCO2e/kg = 2.63 kgCO2e</w:t>
      </w:r>
    </w:p>
    <w:p>
      <w:pPr>
        <w:numPr>
          <w:ilvl w:val="1"/>
          <w:numId w:val="1009"/>
        </w:numPr>
        <w:pStyle w:val="Compact"/>
      </w:pPr>
      <w:r>
        <w:t xml:space="preserve">Recycling process emissions: 12.25 kg * 0.1 kgCO2e/kg = 1.23 kgCO2e</w:t>
      </w:r>
    </w:p>
    <w:p>
      <w:pPr>
        <w:numPr>
          <w:ilvl w:val="1"/>
          <w:numId w:val="1009"/>
        </w:numPr>
        <w:pStyle w:val="Compact"/>
      </w:pPr>
      <w:r>
        <w:rPr>
          <w:bCs/>
          <w:b/>
        </w:rPr>
        <w:t xml:space="preserve">Total EoL Emissions: 3.86 kgCO2e</w:t>
      </w:r>
    </w:p>
    <w:bookmarkEnd w:id="28"/>
    <w:bookmarkEnd w:id="29"/>
    <w:bookmarkStart w:id="32" w:name="Xb404f6bea4a0013006ec7a9103609d9ea6643c1"/>
    <w:p>
      <w:pPr>
        <w:pStyle w:val="Heading3"/>
      </w:pPr>
      <w:r>
        <w:t xml:space="preserve">4. Calculate Emissions (Activity * Emission Factor = CO2e)</w:t>
      </w:r>
    </w:p>
    <w:p>
      <w:pPr>
        <w:pStyle w:val="FirstParagraph"/>
      </w:pPr>
      <w:r>
        <w:t xml:space="preserve">The total Product Carbon Footprint for one functional unit of hqpnpkuniq is calculated by summing emissions across all lifecycle stages. The results are categorized according to the GHG Protocol Scopes.</w:t>
      </w:r>
    </w:p>
    <w:bookmarkStart w:id="30" w:name="X39e4020c1520d7e6fbafb4ab819ac3a24fa44fd"/>
    <w:p>
      <w:pPr>
        <w:pStyle w:val="Heading4"/>
      </w:pPr>
      <w:r>
        <w:t xml:space="preserve">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 Acquisition (Upstream)</w:t>
            </w:r>
          </w:p>
        </w:tc>
        <w:tc>
          <w:tcPr/>
          <w:p>
            <w:pPr>
              <w:pStyle w:val="Compact"/>
              <w:jc w:val="left"/>
            </w:pPr>
            <w:r>
              <w:t xml:space="preserve">60.00</w:t>
            </w:r>
          </w:p>
        </w:tc>
        <w:tc>
          <w:tcPr/>
          <w:p>
            <w:pPr>
              <w:pStyle w:val="Compact"/>
              <w:jc w:val="left"/>
            </w:pPr>
            <w:r>
              <w:t xml:space="preserve">Scope 3, Category 1</w:t>
            </w:r>
          </w:p>
        </w:tc>
      </w:tr>
      <w:tr>
        <w:tc>
          <w:tcPr/>
          <w:p>
            <w:pPr>
              <w:pStyle w:val="Compact"/>
              <w:jc w:val="left"/>
            </w:pPr>
            <w:r>
              <w:t xml:space="preserve">Manufacturing Energy (Operational)</w:t>
            </w:r>
          </w:p>
        </w:tc>
        <w:tc>
          <w:tcPr/>
          <w:p>
            <w:pPr>
              <w:pStyle w:val="Compact"/>
              <w:jc w:val="left"/>
            </w:pPr>
            <w:r>
              <w:t xml:space="preserve">2.60</w:t>
            </w:r>
          </w:p>
        </w:tc>
        <w:tc>
          <w:tcPr/>
          <w:p>
            <w:pPr>
              <w:pStyle w:val="Compact"/>
              <w:jc w:val="left"/>
            </w:pPr>
            <w:r>
              <w:t xml:space="preserve">Scope 2</w:t>
            </w:r>
          </w:p>
        </w:tc>
      </w:tr>
      <w:tr>
        <w:tc>
          <w:tcPr/>
          <w:p>
            <w:pPr>
              <w:pStyle w:val="Compact"/>
              <w:jc w:val="left"/>
            </w:pPr>
            <w:r>
              <w:t xml:space="preserve">Upstream Transportation</w:t>
            </w:r>
          </w:p>
        </w:tc>
        <w:tc>
          <w:tcPr/>
          <w:p>
            <w:pPr>
              <w:pStyle w:val="Compact"/>
              <w:jc w:val="left"/>
            </w:pPr>
            <w:r>
              <w:t xml:space="preserve">1.58</w:t>
            </w:r>
          </w:p>
        </w:tc>
        <w:tc>
          <w:tcPr/>
          <w:p>
            <w:pPr>
              <w:pStyle w:val="Compact"/>
              <w:jc w:val="left"/>
            </w:pPr>
            <w:r>
              <w:t xml:space="preserve">Scope 3, Category 4</w:t>
            </w:r>
          </w:p>
        </w:tc>
      </w:tr>
      <w:tr>
        <w:tc>
          <w:tcPr/>
          <w:p>
            <w:pPr>
              <w:pStyle w:val="Compact"/>
              <w:jc w:val="left"/>
            </w:pPr>
            <w:r>
              <w:t xml:space="preserve">Downstream Transportation (Last-Mile)</w:t>
            </w:r>
          </w:p>
        </w:tc>
        <w:tc>
          <w:tcPr/>
          <w:p>
            <w:pPr>
              <w:pStyle w:val="Compact"/>
              <w:jc w:val="left"/>
            </w:pPr>
            <w:r>
              <w:t xml:space="preserve">0.08</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5.00</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3.86</w:t>
            </w:r>
          </w:p>
        </w:tc>
        <w:tc>
          <w:tcPr/>
          <w:p>
            <w:pPr>
              <w:pStyle w:val="Compact"/>
              <w:jc w:val="left"/>
            </w:pPr>
            <w:r>
              <w:t xml:space="preserve">Scope 3, Category 12</w:t>
            </w:r>
          </w:p>
        </w:tc>
      </w:tr>
      <w:tr>
        <w:tc>
          <w:tcPr/>
          <w:p>
            <w:pPr>
              <w:pStyle w:val="Compact"/>
              <w:jc w:val="left"/>
            </w:pPr>
            <w:r>
              <w:rPr>
                <w:bCs/>
                <w:b/>
              </w:rPr>
              <w:t xml:space="preserve">Total Product Carbon Footprint</w:t>
            </w:r>
          </w:p>
        </w:tc>
        <w:tc>
          <w:tcPr/>
          <w:p>
            <w:pPr>
              <w:pStyle w:val="Compact"/>
              <w:jc w:val="left"/>
            </w:pPr>
            <w:r>
              <w:rPr>
                <w:bCs/>
                <w:b/>
              </w:rPr>
              <w:t xml:space="preserve">73.12 kgCO2e per unit</w:t>
            </w:r>
          </w:p>
        </w:tc>
        <w:tc>
          <w:tcPr/>
          <w:p>
            <w:pPr>
              <w:pStyle w:val="Compact"/>
            </w:pPr>
          </w:p>
        </w:tc>
      </w:tr>
    </w:tbl>
    <w:bookmarkEnd w:id="30"/>
    <w:bookmarkStart w:id="31" w:name="ghg-scope-breakdown"/>
    <w:p>
      <w:pPr>
        <w:pStyle w:val="Heading4"/>
      </w:pPr>
      <w:r>
        <w:t xml:space="preserve">GHG Scope Breakdown</w:t>
      </w:r>
    </w:p>
    <w:p>
      <w:pPr>
        <w:numPr>
          <w:ilvl w:val="0"/>
          <w:numId w:val="1010"/>
        </w:numPr>
        <w:pStyle w:val="Compact"/>
      </w:pPr>
      <w:r>
        <w:rPr>
          <w:bCs/>
          <w:b/>
        </w:rPr>
        <w:t xml:space="preserve">Scope 1 (Direct Emissions):</w:t>
      </w:r>
      <w:r>
        <w:t xml:space="preserve"> </w:t>
      </w:r>
      <w:r>
        <w:t xml:space="preserve">0.00 kgCO2e (Assumed no direct emissions from yfkseyomfp\'s manufacturing facilities for this product\'s PCF boundary).</w:t>
      </w:r>
    </w:p>
    <w:p>
      <w:pPr>
        <w:numPr>
          <w:ilvl w:val="0"/>
          <w:numId w:val="1010"/>
        </w:numPr>
        <w:pStyle w:val="Compact"/>
      </w:pPr>
      <w:r>
        <w:rPr>
          <w:bCs/>
          <w:b/>
        </w:rPr>
        <w:t xml:space="preserve">Scope 2 (Indirect Emissions from Purchased Energy):</w:t>
      </w:r>
      <w:r>
        <w:t xml:space="preserve"> </w:t>
      </w:r>
      <w:r>
        <w:t xml:space="preserve">2.60 kgCO2e (From purchased electricity for manufacturing).</w:t>
      </w:r>
    </w:p>
    <w:p>
      <w:pPr>
        <w:numPr>
          <w:ilvl w:val="0"/>
          <w:numId w:val="1010"/>
        </w:numPr>
        <w:pStyle w:val="Compact"/>
      </w:pPr>
      <w:r>
        <w:rPr>
          <w:bCs/>
          <w:b/>
        </w:rPr>
        <w:t xml:space="preserve">Scope 3 (Other Indirect Emissions from Value Chain):</w:t>
      </w:r>
      <w:r>
        <w:t xml:space="preserve"> </w:t>
      </w:r>
      <w:r>
        <w:t xml:space="preserve">70.52 kgCO2e (Comprising material acquisition, all transportation, use phase, and end-of-life).</w:t>
      </w:r>
    </w:p>
    <w:p>
      <w:pPr>
        <w:numPr>
          <w:ilvl w:val="0"/>
          <w:numId w:val="1010"/>
        </w:numPr>
        <w:pStyle w:val="Compact"/>
      </w:pPr>
      <w:r>
        <w:rPr>
          <w:bCs/>
          <w:b/>
        </w:rPr>
        <w:t xml:space="preserve">Total PCF:</w:t>
      </w:r>
      <w:r>
        <w:t xml:space="preserve"> </w:t>
      </w:r>
      <w:r>
        <w:t xml:space="preserve">73.12 kgCO2e</w:t>
      </w:r>
    </w:p>
    <w:p>
      <w:pPr>
        <w:pStyle w:val="FirstParagraph"/>
      </w:pPr>
      <w:r>
        <w:t xml:space="preserve">This breakdown clearly shows that Scope 3 emissions represent the largest portion of hqpnpkuniq\'s carbon footprint, with material acquisition being the primary hotspot.</w:t>
      </w:r>
    </w:p>
    <w:bookmarkEnd w:id="31"/>
    <w:bookmarkEnd w:id="32"/>
    <w:bookmarkStart w:id="35" w:name="review-report"/>
    <w:p>
      <w:pPr>
        <w:pStyle w:val="Heading3"/>
      </w:pPr>
      <w:r>
        <w:t xml:space="preserve">5. Review &amp; Report</w:t>
      </w:r>
    </w:p>
    <w:bookmarkStart w:id="33" w:name="emission-hotspots"/>
    <w:p>
      <w:pPr>
        <w:pStyle w:val="Heading4"/>
      </w:pPr>
      <w:r>
        <w:t xml:space="preserve">Emission Hotspots</w:t>
      </w:r>
    </w:p>
    <w:p>
      <w:pPr>
        <w:pStyle w:val="FirstParagraph"/>
      </w:pPr>
      <w:r>
        <w:t xml:space="preserve">The primary emission hotspot for hqpnpkuniq is identified in the</w:t>
      </w:r>
      <w:r>
        <w:t xml:space="preserve"> </w:t>
      </w:r>
      <w:r>
        <w:rPr>
          <w:bCs/>
          <w:b/>
        </w:rPr>
        <w:t xml:space="preserve">Material Acquisition</w:t>
      </w:r>
      <w:r>
        <w:t xml:space="preserve"> </w:t>
      </w:r>
      <w:r>
        <w:t xml:space="preserve">stage, accounting for approximately 82% of total emissions. The</w:t>
      </w:r>
      <w:r>
        <w:t xml:space="preserve"> </w:t>
      </w:r>
      <w:r>
        <w:rPr>
          <w:bCs/>
          <w:b/>
        </w:rPr>
        <w:t xml:space="preserve">Use Phase</w:t>
      </w:r>
      <w:r>
        <w:t xml:space="preserve"> </w:t>
      </w:r>
      <w:r>
        <w:t xml:space="preserve">is the second most significant contributor. Addressing these stages offers the greatest potential for emission reductions.</w:t>
      </w:r>
    </w:p>
    <w:bookmarkEnd w:id="33"/>
    <w:bookmarkStart w:id="34" w:name="reliability-and-data-quality"/>
    <w:p>
      <w:pPr>
        <w:pStyle w:val="Heading4"/>
      </w:pPr>
      <w:r>
        <w:t xml:space="preserve">Reliability and Data Quality</w:t>
      </w:r>
    </w:p>
    <w:p>
      <w:pPr>
        <w:pStyle w:val="FirstParagraph"/>
      </w:pPr>
      <w:r>
        <w:t xml:space="preserve">This analysis leverages a combination of client-provided primary data (BOM, energy usage, lifespan) and secondary, industry-average emission factors (for electricity, transport, EoL processes) from reputable sources such as Ecoinvent and DEFRA. While specific primary data for all supply chain elements would enhance accuracy, the chosen approach provides a robust and reliable estimate for a high-detail PCF analysis, consistent with GHG Protocol requirements.</w:t>
      </w:r>
    </w:p>
    <w:p>
      <w:r>
        <w:pict>
          <v:rect style="width:0;height:1.5pt" o:hralign="center" o:hrstd="t" o:hr="t"/>
        </w:pict>
      </w:r>
    </w:p>
    <w:bookmarkEnd w:id="34"/>
    <w:bookmarkEnd w:id="35"/>
    <w:bookmarkEnd w:id="36"/>
    <w:bookmarkStart w:id="40" w:name="ghg-protocol-compliance-2026-lsr-update"/>
    <w:p>
      <w:pPr>
        <w:pStyle w:val="Heading2"/>
      </w:pPr>
      <w:r>
        <w:t xml:space="preserve">GHG Protocol Compliance &amp; 2026 LSR Update</w:t>
      </w:r>
    </w:p>
    <w:bookmarkStart w:id="37" w:name="adherence-to-ghg-protocol"/>
    <w:p>
      <w:pPr>
        <w:pStyle w:val="Heading3"/>
      </w:pPr>
      <w:r>
        <w:t xml:space="preserve">Adherence to GHG Protocol</w:t>
      </w:r>
    </w:p>
    <w:p>
      <w:pPr>
        <w:pStyle w:val="FirstParagraph"/>
      </w:pPr>
      <w:r>
        <w:t xml:space="preserve">This Product Carbon Footprint analysis for hqpnpkuniq strictly adheres to the Greenhouse Gas Protocol\'s Corporate Accounting and Reporting Standard and the Corporate Value Chain (Scope 3) Accounting and Reporting Standard. All emissions are categorized into Scope 1 (direct), Scope 2 (purchased energy), and Scope 3 (value chain) to ensure comprehensive reporting and transparency.</w:t>
      </w:r>
    </w:p>
    <w:bookmarkEnd w:id="37"/>
    <w:bookmarkStart w:id="38"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crucial accounting requirements and guidance for land emissions, CO₂ removals, and other key metrics. Although specific land-use change data for raw material extraction was not provided, the principles of the LSR Standard are considered by using emission factors that implicitly account for land-use impacts where available in the underlying databases (e.g., Ecoinvent for agricultural or forestry-derived materials). Future analyses would incorporate more granular data for raw materials with significant land-use footprints (e.g., bio-based plastics, wood) to fully comply with the LSR Standard\'s detailed requirements for quantifying and tracking land emissions and removals. The accompanying guidance for the LSR Standard is expected in Q2 2026.</w:t>
      </w:r>
    </w:p>
    <w:bookmarkEnd w:id="38"/>
    <w:bookmarkStart w:id="39" w:name="scope-3-compliance"/>
    <w:p>
      <w:pPr>
        <w:pStyle w:val="Heading3"/>
      </w:pPr>
      <w:r>
        <w:t xml:space="preserve">Scope 3 Compliance</w:t>
      </w:r>
    </w:p>
    <w:p>
      <w:pPr>
        <w:pStyle w:val="FirstParagraph"/>
      </w:pPr>
      <w:r>
        <w:t xml:space="preserve">This report ensures at least 95% coverage for Scope 3 reporting, as required by 2026 standards. All significant indirect emissions across the value chain of hqpnpkuniq have been quantified and categorized, including:</w:t>
      </w:r>
    </w:p>
    <w:p>
      <w:pPr>
        <w:numPr>
          <w:ilvl w:val="0"/>
          <w:numId w:val="1011"/>
        </w:numPr>
        <w:pStyle w:val="Compact"/>
      </w:pPr>
      <w:r>
        <w:rPr>
          <w:bCs/>
          <w:b/>
        </w:rPr>
        <w:t xml:space="preserve">Category 1: Purchased Goods and Services</w:t>
      </w:r>
      <w:r>
        <w:t xml:space="preserve"> </w:t>
      </w:r>
      <w:r>
        <w:t xml:space="preserve">(Material Acquisition)</w:t>
      </w:r>
    </w:p>
    <w:p>
      <w:pPr>
        <w:numPr>
          <w:ilvl w:val="0"/>
          <w:numId w:val="1011"/>
        </w:numPr>
        <w:pStyle w:val="Compact"/>
      </w:pPr>
      <w:r>
        <w:rPr>
          <w:bCs/>
          <w:b/>
        </w:rPr>
        <w:t xml:space="preserve">Category 4: Upstream Transportation and Distribution</w:t>
      </w:r>
      <w:r>
        <w:t xml:space="preserve"> </w:t>
      </w:r>
      <w:r>
        <w:t xml:space="preserve">(Upstream Transport of materials)</w:t>
      </w:r>
    </w:p>
    <w:p>
      <w:pPr>
        <w:numPr>
          <w:ilvl w:val="0"/>
          <w:numId w:val="1011"/>
        </w:numPr>
        <w:pStyle w:val="Compact"/>
      </w:pPr>
      <w:r>
        <w:rPr>
          <w:bCs/>
          <w:b/>
        </w:rPr>
        <w:t xml:space="preserve">Category 9: Downstream Transportation and Distribution</w:t>
      </w:r>
      <w:r>
        <w:t xml:space="preserve"> </w:t>
      </w:r>
      <w:r>
        <w:t xml:space="preserve">(Last-Mile Delivery)</w:t>
      </w:r>
    </w:p>
    <w:p>
      <w:pPr>
        <w:numPr>
          <w:ilvl w:val="0"/>
          <w:numId w:val="1011"/>
        </w:numPr>
        <w:pStyle w:val="Compact"/>
      </w:pPr>
      <w:r>
        <w:rPr>
          <w:bCs/>
          <w:b/>
        </w:rPr>
        <w:t xml:space="preserve">Category 11: Use of Sold Products</w:t>
      </w:r>
      <w:r>
        <w:t xml:space="preserve"> </w:t>
      </w:r>
      <w:r>
        <w:t xml:space="preserve">(Energy consumption during product use)</w:t>
      </w:r>
    </w:p>
    <w:p>
      <w:pPr>
        <w:numPr>
          <w:ilvl w:val="0"/>
          <w:numId w:val="1011"/>
        </w:numPr>
        <w:pStyle w:val="Compact"/>
      </w:pPr>
      <w:r>
        <w:rPr>
          <w:bCs/>
          <w:b/>
        </w:rPr>
        <w:t xml:space="preserve">Category 12: End-of-Life Treatment of Sold Products</w:t>
      </w:r>
      <w:r>
        <w:t xml:space="preserve"> </w:t>
      </w:r>
      <w:r>
        <w:t xml:space="preserve">(Disposal and recycling)</w:t>
      </w:r>
    </w:p>
    <w:p>
      <w:pPr>
        <w:pStyle w:val="FirstParagraph"/>
      </w:pPr>
      <w:r>
        <w:t xml:space="preserve">This extensive coverage ensures a comprehensive and compliant assessment of the product\'s value chain emissions.</w:t>
      </w:r>
    </w:p>
    <w:p>
      <w:r>
        <w:pict>
          <v:rect style="width:0;height:1.5pt" o:hralign="center" o:hrstd="t" o:hr="t"/>
        </w:pict>
      </w:r>
    </w:p>
    <w:bookmarkEnd w:id="39"/>
    <w:bookmarkEnd w:id="40"/>
    <w:bookmarkStart w:id="41" w:name="conclusion-and-recommendations"/>
    <w:p>
      <w:pPr>
        <w:pStyle w:val="Heading2"/>
      </w:pPr>
      <w:r>
        <w:t xml:space="preserve">Conclusion and Recommendations</w:t>
      </w:r>
    </w:p>
    <w:p>
      <w:pPr>
        <w:pStyle w:val="FirstParagraph"/>
      </w:pPr>
      <w:r>
        <w:t xml:space="preserve">The Product Carbon Footprint for hqpnpkuniq is approximately 73.12 kgCO2e per unit. This analysis reveals that the largest environmental impacts stem from the acquisition of raw materials and the energy consumed during the product\'s use phase. To significantly reduce the carbon footprint of hqpnpkuniq, yfkseyomfp should consider the following recommendations:</w:t>
      </w:r>
    </w:p>
    <w:p>
      <w:pPr>
        <w:numPr>
          <w:ilvl w:val="0"/>
          <w:numId w:val="1012"/>
        </w:numPr>
        <w:pStyle w:val="Compact"/>
      </w:pPr>
      <w:r>
        <w:rPr>
          <w:bCs/>
          <w:b/>
        </w:rPr>
        <w:t xml:space="preserve">Material Optimization:</w:t>
      </w:r>
      <w:r>
        <w:t xml:space="preserve"> </w:t>
      </w:r>
      <w:r>
        <w:t xml:space="preserve">Explore alternative, lower-carbon materials for the identified hotspots (Steel, Plastic ABS, Aluminum, Electronic Components). This could involve sourcing recycled content, bio-based alternatives with verified low impact, or engaging suppliers in decarbonization efforts.</w:t>
      </w:r>
    </w:p>
    <w:p>
      <w:pPr>
        <w:numPr>
          <w:ilvl w:val="0"/>
          <w:numId w:val="1012"/>
        </w:numPr>
        <w:pStyle w:val="Compact"/>
      </w:pPr>
      <w:r>
        <w:rPr>
          <w:bCs/>
          <w:b/>
        </w:rPr>
        <w:t xml:space="preserve">Energy Efficiency in Use:</w:t>
      </w:r>
      <w:r>
        <w:t xml:space="preserve"> </w:t>
      </w:r>
      <w:r>
        <w:t xml:space="preserve">Investigate opportunities to reduce the energy consumption of hqpnpkuniq during its operational lifespan. This could include design for energy efficiency, providing user guidance for optimized usage, or developing energy-saving features.</w:t>
      </w:r>
    </w:p>
    <w:p>
      <w:pPr>
        <w:numPr>
          <w:ilvl w:val="0"/>
          <w:numId w:val="1012"/>
        </w:numPr>
        <w:pStyle w:val="Compact"/>
      </w:pPr>
      <w:r>
        <w:rPr>
          <w:bCs/>
          <w:b/>
        </w:rPr>
        <w:t xml:space="preserve">Renewable Energy Transition:</w:t>
      </w:r>
      <w:r>
        <w:t xml:space="preserve"> </w:t>
      </w:r>
      <w:r>
        <w:t xml:space="preserve">While 50% renewable energy usage is a good start, further increasing the share of renewable energy in manufacturing operations in China, potentially through power purchase agreements or on-site generation, would directly reduce Scope 2 emissions.</w:t>
      </w:r>
    </w:p>
    <w:p>
      <w:pPr>
        <w:numPr>
          <w:ilvl w:val="0"/>
          <w:numId w:val="1012"/>
        </w:numPr>
        <w:pStyle w:val="Compact"/>
      </w:pPr>
      <w:r>
        <w:rPr>
          <w:bCs/>
          <w:b/>
        </w:rPr>
        <w:t xml:space="preserve">Circular Economy Initiatives:</w:t>
      </w:r>
      <w:r>
        <w:t xml:space="preserve"> </w:t>
      </w:r>
      <w:r>
        <w:t xml:space="preserve">Strengthen and expand circular/take-back programs (fszhrwvtwu) to increase the recyclability percentage (glxqkokhmq) beyond 70%. This could also involve designing for disassembly and modularity to facilitate repair and reuse, thus extending product lifespan and reducing demand for virgin materials.</w:t>
      </w:r>
    </w:p>
    <w:p>
      <w:pPr>
        <w:numPr>
          <w:ilvl w:val="0"/>
          <w:numId w:val="1012"/>
        </w:numPr>
        <w:pStyle w:val="Compact"/>
      </w:pPr>
      <w:r>
        <w:rPr>
          <w:bCs/>
          <w:b/>
        </w:rPr>
        <w:t xml:space="preserve">Supply Chain Engagement:</w:t>
      </w:r>
      <w:r>
        <w:t xml:space="preserve"> </w:t>
      </w:r>
      <w:r>
        <w:t xml:space="preserve">Collaborate with upstream suppliers (especially for high-impact materials) and downstream logistics partners to identify and implement emission reduction strategies across the entire value chain.</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hqpnpkuniq</dc:title>
  <dc:creator/>
  <dc:description>Detailed Product Carbon Footprint (PCF) analysis report for hqpnpkuniq by Senior Sustainability Consultant qjqtsxekny, adhering to GHG Protocol standards with 2026 LSR update.</dc:description>
  <dc:language>en</dc:language>
  <cp:keywords/>
  <dcterms:created xsi:type="dcterms:W3CDTF">2026-05-30T15:59:34Z</dcterms:created>
  <dcterms:modified xsi:type="dcterms:W3CDTF">2026-05-30T15:59:34Z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